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9A2" w:rsidRDefault="008E39A2" w:rsidP="008E39A2">
      <w:pPr>
        <w:ind w:firstLine="708"/>
        <w:jc w:val="both"/>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León, Guanajuato, a 10 diez de julio del año 2017 dos mil diecisiete. . . . .</w:t>
      </w:r>
    </w:p>
    <w:p w:rsidR="008E39A2" w:rsidRDefault="008E39A2" w:rsidP="008E39A2">
      <w:pPr>
        <w:rPr>
          <w:rFonts w:ascii="Calibri" w:hAnsi="Calibri" w:cs="Calibri"/>
          <w:color w:val="767171" w:themeColor="background2" w:themeShade="80"/>
          <w:sz w:val="26"/>
          <w:szCs w:val="26"/>
        </w:rPr>
      </w:pPr>
    </w:p>
    <w:p w:rsidR="008E39A2" w:rsidRDefault="008E39A2" w:rsidP="008E39A2">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lang w:val="es-ES"/>
        </w:rPr>
        <w:t>V I S T O S</w:t>
      </w:r>
      <w:r>
        <w:rPr>
          <w:rFonts w:ascii="Calibri" w:hAnsi="Calibri" w:cs="Calibri"/>
          <w:bCs/>
          <w:iCs/>
          <w:color w:val="767171" w:themeColor="background2" w:themeShade="80"/>
          <w:sz w:val="26"/>
          <w:szCs w:val="26"/>
          <w:lang w:val="es-ES"/>
        </w:rPr>
        <w:t xml:space="preserve">, </w:t>
      </w:r>
      <w:r>
        <w:rPr>
          <w:rFonts w:ascii="Calibri" w:hAnsi="Calibri" w:cs="Calibri"/>
          <w:bCs/>
          <w:iCs/>
          <w:color w:val="767171" w:themeColor="background2" w:themeShade="80"/>
          <w:sz w:val="26"/>
          <w:szCs w:val="26"/>
        </w:rPr>
        <w:t>para dictar sentencia definitiva,</w:t>
      </w:r>
      <w:r>
        <w:rPr>
          <w:rFonts w:ascii="Calibri" w:hAnsi="Calibri" w:cs="Calibri"/>
          <w:color w:val="767171" w:themeColor="background2" w:themeShade="80"/>
          <w:sz w:val="26"/>
          <w:szCs w:val="26"/>
        </w:rPr>
        <w:t xml:space="preserve"> los autos del proceso administrativo identificado con el número </w:t>
      </w:r>
      <w:r>
        <w:rPr>
          <w:rFonts w:ascii="Calibri" w:hAnsi="Calibri" w:cs="Calibri"/>
          <w:b/>
          <w:color w:val="767171" w:themeColor="background2" w:themeShade="80"/>
          <w:sz w:val="26"/>
          <w:szCs w:val="26"/>
        </w:rPr>
        <w:t>0274/2doJAM/2017-JN</w:t>
      </w:r>
      <w:r>
        <w:rPr>
          <w:rFonts w:ascii="Calibri" w:hAnsi="Calibri" w:cs="Calibri"/>
          <w:color w:val="767171" w:themeColor="background2" w:themeShade="80"/>
          <w:sz w:val="26"/>
          <w:szCs w:val="26"/>
        </w:rPr>
        <w:t xml:space="preserve">, promovido por el ciudadano </w:t>
      </w:r>
      <w:r>
        <w:rPr>
          <w:rFonts w:ascii="Calibri" w:hAnsi="Calibri" w:cs="Calibri"/>
          <w:b/>
          <w:color w:val="767171" w:themeColor="background2" w:themeShade="80"/>
          <w:sz w:val="26"/>
          <w:szCs w:val="26"/>
        </w:rPr>
        <w:t xml:space="preserve">*****, </w:t>
      </w:r>
      <w:r>
        <w:rPr>
          <w:rFonts w:ascii="Calibri" w:hAnsi="Calibri" w:cs="Calibri"/>
          <w:color w:val="767171" w:themeColor="background2" w:themeShade="80"/>
          <w:sz w:val="26"/>
          <w:szCs w:val="26"/>
        </w:rPr>
        <w:t xml:space="preserve">en representación legal de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y,. . . . . . . . . . . . . . . . . . . . . . . . . . . </w:t>
      </w:r>
    </w:p>
    <w:p w:rsidR="008E39A2" w:rsidRDefault="008E39A2" w:rsidP="008E39A2">
      <w:pPr>
        <w:pStyle w:val="Textoindependiente"/>
        <w:rPr>
          <w:rFonts w:ascii="Calibri" w:hAnsi="Calibri" w:cs="Calibri"/>
          <w:color w:val="767171" w:themeColor="background2" w:themeShade="80"/>
          <w:sz w:val="26"/>
          <w:szCs w:val="26"/>
        </w:rPr>
      </w:pPr>
    </w:p>
    <w:p w:rsidR="008E39A2" w:rsidRDefault="008E39A2" w:rsidP="008E39A2">
      <w:pPr>
        <w:pStyle w:val="Textoindependiente"/>
        <w:rPr>
          <w:rFonts w:ascii="Calibri" w:hAnsi="Calibri" w:cs="Calibri"/>
          <w:color w:val="767171" w:themeColor="background2" w:themeShade="80"/>
          <w:sz w:val="26"/>
          <w:szCs w:val="26"/>
        </w:rPr>
      </w:pPr>
    </w:p>
    <w:p w:rsidR="008E39A2" w:rsidRDefault="008E39A2" w:rsidP="008E39A2">
      <w:pPr>
        <w:pStyle w:val="Textoindependiente"/>
        <w:ind w:firstLine="708"/>
        <w:jc w:val="center"/>
        <w:rPr>
          <w:rFonts w:ascii="Calibri" w:hAnsi="Calibri" w:cs="Calibri"/>
          <w:b/>
          <w:bCs/>
          <w:i/>
          <w:iCs/>
          <w:color w:val="767171" w:themeColor="background2" w:themeShade="80"/>
          <w:sz w:val="26"/>
          <w:szCs w:val="26"/>
        </w:rPr>
      </w:pPr>
      <w:r>
        <w:rPr>
          <w:rFonts w:ascii="Calibri" w:hAnsi="Calibri" w:cs="Calibri"/>
          <w:b/>
          <w:bCs/>
          <w:i/>
          <w:iCs/>
          <w:color w:val="767171" w:themeColor="background2" w:themeShade="80"/>
          <w:sz w:val="26"/>
          <w:szCs w:val="26"/>
        </w:rPr>
        <w:t xml:space="preserve">C O N S I D E R A N D </w:t>
      </w:r>
      <w:proofErr w:type="gramStart"/>
      <w:r>
        <w:rPr>
          <w:rFonts w:ascii="Calibri" w:hAnsi="Calibri" w:cs="Calibri"/>
          <w:b/>
          <w:bCs/>
          <w:i/>
          <w:iCs/>
          <w:color w:val="767171" w:themeColor="background2" w:themeShade="80"/>
          <w:sz w:val="26"/>
          <w:szCs w:val="26"/>
        </w:rPr>
        <w:t>O :</w:t>
      </w:r>
      <w:proofErr w:type="gramEnd"/>
    </w:p>
    <w:p w:rsidR="008E39A2" w:rsidRDefault="008E39A2" w:rsidP="008E39A2">
      <w:pPr>
        <w:pStyle w:val="Textoindependiente"/>
        <w:ind w:firstLine="708"/>
        <w:jc w:val="center"/>
        <w:rPr>
          <w:rFonts w:ascii="Calibri" w:hAnsi="Calibri" w:cs="Calibri"/>
          <w:b/>
          <w:bCs/>
          <w:color w:val="767171" w:themeColor="background2" w:themeShade="80"/>
          <w:sz w:val="26"/>
          <w:szCs w:val="26"/>
        </w:rPr>
      </w:pPr>
    </w:p>
    <w:p w:rsidR="008E39A2" w:rsidRDefault="008E39A2" w:rsidP="008E39A2">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SEGUNDO</w:t>
      </w:r>
      <w:r>
        <w:rPr>
          <w:rFonts w:ascii="Calibri" w:hAnsi="Calibri" w:cs="Calibri"/>
          <w:b/>
          <w:bCs/>
          <w:color w:val="767171" w:themeColor="background2" w:themeShade="80"/>
          <w:sz w:val="26"/>
          <w:szCs w:val="26"/>
        </w:rPr>
        <w:t xml:space="preserve">.- </w:t>
      </w:r>
      <w:r>
        <w:rPr>
          <w:rFonts w:ascii="Calibri" w:hAnsi="Calibri" w:cs="Calibri"/>
          <w:color w:val="767171" w:themeColor="background2" w:themeShade="80"/>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 la </w:t>
      </w:r>
    </w:p>
    <w:p w:rsidR="008E39A2" w:rsidRDefault="008E39A2" w:rsidP="008E39A2">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0274/2doJAM/2017-JN</w:t>
      </w:r>
    </w:p>
    <w:p w:rsidR="008E39A2" w:rsidRDefault="008E39A2" w:rsidP="008E39A2">
      <w:pPr>
        <w:ind w:firstLine="708"/>
        <w:jc w:val="right"/>
        <w:rPr>
          <w:rFonts w:ascii="Calibri" w:hAnsi="Calibri" w:cs="Calibri"/>
          <w:b/>
          <w:color w:val="767171" w:themeColor="background2" w:themeShade="80"/>
          <w:sz w:val="26"/>
          <w:szCs w:val="26"/>
        </w:rPr>
      </w:pPr>
    </w:p>
    <w:p w:rsidR="008E39A2" w:rsidRDefault="008E39A2" w:rsidP="008E39A2">
      <w:pPr>
        <w:pStyle w:val="Textoindependiente"/>
        <w:rPr>
          <w:rFonts w:ascii="Calibri" w:hAnsi="Calibri" w:cs="Calibri"/>
          <w:color w:val="767171" w:themeColor="background2" w:themeShade="80"/>
          <w:sz w:val="26"/>
          <w:szCs w:val="26"/>
        </w:rPr>
      </w:pPr>
      <w:proofErr w:type="gramStart"/>
      <w:r>
        <w:rPr>
          <w:rFonts w:ascii="Calibri" w:hAnsi="Calibri" w:cs="Calibri"/>
          <w:color w:val="767171" w:themeColor="background2" w:themeShade="80"/>
          <w:sz w:val="26"/>
          <w:szCs w:val="26"/>
        </w:rPr>
        <w:t>emisión</w:t>
      </w:r>
      <w:proofErr w:type="gramEnd"/>
      <w:r>
        <w:rPr>
          <w:rFonts w:ascii="Calibri" w:hAnsi="Calibri" w:cs="Calibri"/>
          <w:color w:val="767171" w:themeColor="background2" w:themeShade="80"/>
          <w:sz w:val="26"/>
          <w:szCs w:val="26"/>
        </w:rPr>
        <w:t xml:space="preserve"> del acta de infracción, lo que fue el día 13 trece de enero del año en curso, sin que de las constancias de la presente causa administrativa se desprenda lo contrario. . . . . . . . . . . . . . . . . . . . . . . . . . . . . . . . . . . . . . . . . . . . . . . . . . </w:t>
      </w:r>
    </w:p>
    <w:p w:rsidR="008E39A2" w:rsidRDefault="008E39A2" w:rsidP="008E39A2">
      <w:pPr>
        <w:ind w:firstLine="708"/>
        <w:jc w:val="both"/>
        <w:rPr>
          <w:rFonts w:ascii="Calibri" w:hAnsi="Calibri" w:cs="Calibri"/>
          <w:b/>
          <w:i/>
          <w:iCs/>
          <w:color w:val="767171" w:themeColor="background2" w:themeShade="80"/>
          <w:sz w:val="26"/>
          <w:szCs w:val="26"/>
        </w:rPr>
      </w:pPr>
    </w:p>
    <w:p w:rsidR="008E39A2" w:rsidRDefault="008E39A2" w:rsidP="008E39A2">
      <w:pPr>
        <w:ind w:firstLine="708"/>
        <w:jc w:val="both"/>
        <w:rPr>
          <w:rFonts w:ascii="Calibri" w:hAnsi="Calibri" w:cs="Calibri"/>
          <w:color w:val="767171" w:themeColor="background2" w:themeShade="80"/>
          <w:sz w:val="26"/>
          <w:szCs w:val="26"/>
        </w:rPr>
      </w:pPr>
      <w:r>
        <w:rPr>
          <w:rFonts w:ascii="Calibri" w:hAnsi="Calibri" w:cs="Calibri"/>
          <w:b/>
          <w:i/>
          <w:iCs/>
          <w:color w:val="767171" w:themeColor="background2" w:themeShade="80"/>
          <w:sz w:val="26"/>
          <w:szCs w:val="26"/>
        </w:rPr>
        <w:t xml:space="preserve">TERCERO.- </w:t>
      </w:r>
      <w:r>
        <w:rPr>
          <w:rFonts w:ascii="Calibri" w:hAnsi="Calibri" w:cs="Calibri"/>
          <w:color w:val="767171" w:themeColor="background2" w:themeShade="80"/>
          <w:sz w:val="26"/>
          <w:szCs w:val="26"/>
        </w:rPr>
        <w:t xml:space="preserve">La existencia del acto impugnado, se encuentra documentada en autos con el original del acta con folio número 362503 (tres-seis-dos-cinco-cero-tres), de fecha 13 trece de enero del año 2017 dos mil diecisiete; documento que, admitido como prueba a las partes (visible a foja 15 quince), merece pleno valor probatorio, conforme lo dispuesto en los artículos 78, 81, 117, 118, 121 y 131 del Código de Procedimiento y Justicia Administrativa para el Estado  y   los  Municipios  de  Guanajuato;  toda  vez  que   se  trata  de  un  documento  público, expedido por un servidor público, -el inspector demandado, en el ejercicio de sus funciones, aunada la </w:t>
      </w:r>
      <w:r>
        <w:rPr>
          <w:rFonts w:ascii="Calibri" w:hAnsi="Calibri" w:cs="Calibri"/>
          <w:b/>
          <w:color w:val="767171" w:themeColor="background2" w:themeShade="80"/>
          <w:sz w:val="26"/>
          <w:szCs w:val="26"/>
        </w:rPr>
        <w:t>confesión expresa</w:t>
      </w:r>
      <w:r>
        <w:rPr>
          <w:rFonts w:ascii="Calibri" w:hAnsi="Calibri" w:cs="Calibri"/>
          <w:color w:val="767171" w:themeColor="background2" w:themeShade="80"/>
          <w:sz w:val="26"/>
          <w:szCs w:val="26"/>
        </w:rPr>
        <w:t xml:space="preserve"> que hizo el enjuiciado, al contestar la demanda, en el sentido de que si levantó el Acta de Infracción combatida</w:t>
      </w:r>
      <w:r>
        <w:rPr>
          <w:rFonts w:ascii="Calibri" w:hAnsi="Calibri"/>
          <w:color w:val="767171" w:themeColor="background2" w:themeShade="80"/>
          <w:sz w:val="26"/>
          <w:szCs w:val="26"/>
        </w:rPr>
        <w:t xml:space="preserve">. . . . . . . </w:t>
      </w:r>
      <w:r>
        <w:rPr>
          <w:rFonts w:ascii="Calibri" w:hAnsi="Calibri" w:cs="Calibri"/>
          <w:color w:val="767171" w:themeColor="background2" w:themeShade="80"/>
          <w:sz w:val="26"/>
          <w:szCs w:val="26"/>
        </w:rPr>
        <w:t xml:space="preserve">. . . . . . . . . . . . . . . . . . . . . . . . . . . . . . . . . . . . . . . . . . . . </w:t>
      </w:r>
    </w:p>
    <w:p w:rsidR="008E39A2" w:rsidRDefault="008E39A2" w:rsidP="008E39A2">
      <w:pPr>
        <w:jc w:val="both"/>
        <w:rPr>
          <w:rFonts w:ascii="Calibri" w:hAnsi="Calibri" w:cs="Calibri"/>
          <w:color w:val="767171" w:themeColor="background2" w:themeShade="80"/>
          <w:sz w:val="26"/>
          <w:szCs w:val="26"/>
        </w:rPr>
      </w:pPr>
    </w:p>
    <w:p w:rsidR="008E39A2" w:rsidRDefault="008E39A2" w:rsidP="008E39A2">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En razón de lo anterior, se tiene por </w:t>
      </w:r>
      <w:r>
        <w:rPr>
          <w:rFonts w:ascii="Calibri" w:hAnsi="Calibri" w:cs="Calibri"/>
          <w:b/>
          <w:color w:val="767171" w:themeColor="background2" w:themeShade="80"/>
          <w:sz w:val="26"/>
          <w:szCs w:val="26"/>
        </w:rPr>
        <w:t>debidamente acreditada</w:t>
      </w:r>
      <w:r>
        <w:rPr>
          <w:rFonts w:ascii="Calibri" w:hAnsi="Calibri" w:cs="Calibri"/>
          <w:color w:val="767171" w:themeColor="background2" w:themeShade="80"/>
          <w:sz w:val="26"/>
          <w:szCs w:val="26"/>
        </w:rPr>
        <w:t xml:space="preserve"> la existencia del acto impugnado. . . . . . . . . . . . . . . . . . . . . . . . . . . . . . . . . . . . . . . . . . . . . . . . . . . .</w:t>
      </w:r>
    </w:p>
    <w:p w:rsidR="008E39A2" w:rsidRDefault="008E39A2" w:rsidP="008E39A2">
      <w:pPr>
        <w:jc w:val="both"/>
        <w:rPr>
          <w:rFonts w:ascii="Calibri" w:hAnsi="Calibri" w:cs="Calibri"/>
          <w:b/>
          <w:bCs/>
          <w:i/>
          <w:iCs/>
          <w:color w:val="767171" w:themeColor="background2" w:themeShade="80"/>
          <w:sz w:val="26"/>
          <w:szCs w:val="26"/>
        </w:rPr>
      </w:pPr>
    </w:p>
    <w:p w:rsidR="008E39A2" w:rsidRDefault="008E39A2" w:rsidP="008E39A2">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CUARTO.- </w:t>
      </w:r>
      <w:r>
        <w:rPr>
          <w:rFonts w:ascii="Calibri" w:hAnsi="Calibri" w:cs="Calibri"/>
          <w:color w:val="767171" w:themeColor="background2" w:themeShade="80"/>
          <w:sz w:val="26"/>
          <w:szCs w:val="26"/>
        </w:rPr>
        <w:t xml:space="preserve">Por ser de </w:t>
      </w:r>
      <w:r>
        <w:rPr>
          <w:rFonts w:ascii="Calibri" w:hAnsi="Calibri" w:cs="Calibri"/>
          <w:b/>
          <w:color w:val="767171" w:themeColor="background2" w:themeShade="80"/>
          <w:sz w:val="26"/>
          <w:szCs w:val="26"/>
        </w:rPr>
        <w:t>Orden Público</w:t>
      </w:r>
      <w:r>
        <w:rPr>
          <w:rFonts w:ascii="Calibri" w:hAnsi="Calibri" w:cs="Calibri"/>
          <w:color w:val="767171" w:themeColor="background2" w:themeShade="80"/>
          <w:sz w:val="26"/>
          <w:szCs w:val="26"/>
        </w:rPr>
        <w:t xml:space="preserve"> y, por ende de examen de oficio, ya que constituye un presupuesto procesal, este Juzgador procede a analizar la personalidad con la que concurre el ciudadano *****, en la presente causa administrativa. . . . . . . . . . . . . . . . . . . . . . . . . . . . . . . . . . . . . . . . . . </w:t>
      </w:r>
    </w:p>
    <w:p w:rsidR="008E39A2" w:rsidRDefault="008E39A2" w:rsidP="008E39A2">
      <w:pPr>
        <w:rPr>
          <w:rFonts w:ascii="Calibri" w:hAnsi="Calibri" w:cs="Calibri"/>
          <w:b/>
          <w:color w:val="767171" w:themeColor="background2" w:themeShade="80"/>
          <w:sz w:val="26"/>
          <w:szCs w:val="26"/>
        </w:rPr>
      </w:pPr>
    </w:p>
    <w:p w:rsidR="008E39A2" w:rsidRDefault="008E39A2" w:rsidP="008E39A2">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El ciudadano *****, promovió el presente proceso, con el carácter representante legal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color w:val="767171" w:themeColor="background2" w:themeShade="80"/>
          <w:sz w:val="26"/>
          <w:szCs w:val="26"/>
        </w:rPr>
        <w:t xml:space="preserve"> exhibiendo, para acreditarlo, la Escritura Pública número 12,111 doce mil ciento once; de fecha 6 seis de octubre del año 2016 dos mil dieciséis, tirada ante la fe del *****, titular de la Notaría Pública número 15 quince, en legal ejercicio en el Partido Judicial de León, Guanajuato; en la cual se hizo constar la comparecencia del *****, en su carácter de Delegado Especial de la Asamblea Ordinaria y Extraordinaria de Accionistas de la Sociedad Mercantil antes citada, a efecto de protocolizar, parcialmente, la Asamblea Ordinaria celebrada el día 19 diecinueve de septiembre de 2016 dos mil dieciséis, en donde destaca que se otorgó a favor del ciudadano *****, un Poder General para pleitos y cobranzas, actos de administración y de dominio, con todas la facultades generales y especiales que de acuerdo a la ley requieran cláusula especial sin limitación alguna; según se aprecia en la Resolución Quinta del Acta protocolizada mediante la escritura pública antes descrita. . </w:t>
      </w:r>
      <w:r>
        <w:rPr>
          <w:rFonts w:ascii="Calibri" w:hAnsi="Calibri"/>
          <w:color w:val="767171" w:themeColor="background2" w:themeShade="80"/>
          <w:sz w:val="26"/>
          <w:szCs w:val="26"/>
        </w:rPr>
        <w:t xml:space="preserve">. . . . . . . . . . . . . . . . . . . . . . . . . . . . . . . . . . . . . . . </w:t>
      </w:r>
      <w:r>
        <w:rPr>
          <w:rFonts w:ascii="Calibri" w:hAnsi="Calibri" w:cs="Calibri"/>
          <w:color w:val="767171" w:themeColor="background2" w:themeShade="80"/>
          <w:sz w:val="26"/>
          <w:szCs w:val="26"/>
        </w:rPr>
        <w:t xml:space="preserve">. . . . . . . . . . . . . . . . . . . . . </w:t>
      </w:r>
    </w:p>
    <w:p w:rsidR="008E39A2" w:rsidRDefault="008E39A2" w:rsidP="008E39A2">
      <w:pPr>
        <w:ind w:firstLine="708"/>
        <w:jc w:val="both"/>
        <w:rPr>
          <w:rFonts w:ascii="Calibri" w:hAnsi="Calibri" w:cs="Calibri"/>
          <w:color w:val="767171" w:themeColor="background2" w:themeShade="80"/>
          <w:sz w:val="26"/>
          <w:szCs w:val="26"/>
        </w:rPr>
      </w:pPr>
    </w:p>
    <w:p w:rsidR="008E39A2" w:rsidRDefault="008E39A2" w:rsidP="008E39A2">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Escritura Pública que, presentada en copia certificada por el *****, Notario Público número 99 noventa y nueve del Partido Judicial de León, Guanajuato (visible en autos a fojas 4 cuatro a la 13 trece),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 tiene el carácter de Apoderado General para pleitos y cobranzas de la persona moral denominada </w:t>
      </w:r>
      <w:r>
        <w:rPr>
          <w:rFonts w:ascii="Calibri" w:hAnsi="Calibri" w:cs="Calibri"/>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y, por ende, está plenamente facultado para comparecer, promover e intervenir en el presente proceso, </w:t>
      </w:r>
      <w:r>
        <w:rPr>
          <w:rFonts w:ascii="Calibri" w:hAnsi="Calibri"/>
          <w:bCs/>
          <w:iCs/>
          <w:color w:val="767171" w:themeColor="background2" w:themeShade="80"/>
          <w:sz w:val="26"/>
          <w:szCs w:val="26"/>
        </w:rPr>
        <w:t xml:space="preserve">a nombre de dicha Sociedad Mercantil. . . . . . . . . . . . . . . . . . . . . </w:t>
      </w:r>
    </w:p>
    <w:p w:rsidR="008E39A2" w:rsidRDefault="008E39A2" w:rsidP="008E39A2">
      <w:pPr>
        <w:jc w:val="both"/>
        <w:rPr>
          <w:rFonts w:ascii="Calibri" w:hAnsi="Calibri" w:cs="Calibri"/>
          <w:b/>
          <w:bCs/>
          <w:i/>
          <w:iCs/>
          <w:color w:val="767171" w:themeColor="background2" w:themeShade="80"/>
          <w:sz w:val="26"/>
          <w:szCs w:val="26"/>
        </w:rPr>
      </w:pPr>
    </w:p>
    <w:p w:rsidR="008E39A2" w:rsidRDefault="008E39A2" w:rsidP="008E39A2">
      <w:pPr>
        <w:ind w:firstLine="708"/>
        <w:jc w:val="both"/>
        <w:rPr>
          <w:rFonts w:ascii="Calibri" w:hAnsi="Calibri" w:cs="Calibri"/>
          <w:bCs/>
          <w:iCs/>
          <w:color w:val="767171" w:themeColor="background2" w:themeShade="80"/>
          <w:sz w:val="26"/>
          <w:szCs w:val="26"/>
        </w:rPr>
      </w:pPr>
      <w:r>
        <w:rPr>
          <w:rFonts w:ascii="Calibri" w:hAnsi="Calibri" w:cs="Calibri"/>
          <w:b/>
          <w:bCs/>
          <w:i/>
          <w:iCs/>
          <w:color w:val="767171" w:themeColor="background2" w:themeShade="80"/>
          <w:sz w:val="26"/>
          <w:szCs w:val="26"/>
        </w:rPr>
        <w:t xml:space="preserve">QUINTO.- </w:t>
      </w:r>
      <w:r>
        <w:rPr>
          <w:rFonts w:ascii="Calibri" w:hAnsi="Calibri" w:cs="Calibri"/>
          <w:bCs/>
          <w:iCs/>
          <w:color w:val="767171" w:themeColor="background2" w:themeShade="80"/>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alibri" w:hAnsi="Calibri" w:cs="Calibri"/>
          <w:color w:val="767171" w:themeColor="background2" w:themeShade="80"/>
          <w:sz w:val="26"/>
          <w:szCs w:val="26"/>
        </w:rPr>
        <w:t xml:space="preserve">. . . . . . . . . . . . . . </w:t>
      </w:r>
    </w:p>
    <w:p w:rsidR="008E39A2" w:rsidRDefault="008E39A2" w:rsidP="008E39A2">
      <w:pPr>
        <w:jc w:val="both"/>
        <w:rPr>
          <w:rFonts w:ascii="Calibri" w:hAnsi="Calibri" w:cs="Calibri"/>
          <w:b/>
          <w:bCs/>
          <w:i/>
          <w:iCs/>
          <w:color w:val="767171" w:themeColor="background2" w:themeShade="80"/>
          <w:sz w:val="26"/>
          <w:szCs w:val="26"/>
        </w:rPr>
      </w:pPr>
    </w:p>
    <w:p w:rsidR="008E39A2" w:rsidRDefault="008E39A2" w:rsidP="008E39A2">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Sentado lo anterior, se advierte que en el presente proceso, el inspector demandado, </w:t>
      </w:r>
      <w:r>
        <w:rPr>
          <w:rFonts w:ascii="Calibri" w:hAnsi="Calibri" w:cs="Calibri"/>
          <w:b/>
          <w:bCs/>
          <w:iCs/>
          <w:color w:val="767171" w:themeColor="background2" w:themeShade="80"/>
          <w:sz w:val="26"/>
          <w:szCs w:val="26"/>
        </w:rPr>
        <w:t>exteriorizó</w:t>
      </w:r>
      <w:r>
        <w:rPr>
          <w:rFonts w:ascii="Calibri" w:hAnsi="Calibri" w:cs="Calibri"/>
          <w:bCs/>
          <w:iCs/>
          <w:color w:val="767171" w:themeColor="background2" w:themeShade="80"/>
          <w:sz w:val="26"/>
          <w:szCs w:val="26"/>
        </w:rPr>
        <w:t xml:space="preserve"> como causal de improcedencia, el hecho de que el acto combatido se encuentra debidamente fundado y motivado y que por ello no afecta </w:t>
      </w:r>
      <w:r>
        <w:rPr>
          <w:rFonts w:ascii="Calibri" w:hAnsi="Calibri" w:cs="Calibri"/>
          <w:bCs/>
          <w:iCs/>
          <w:color w:val="767171" w:themeColor="background2" w:themeShade="80"/>
          <w:sz w:val="26"/>
          <w:szCs w:val="26"/>
        </w:rPr>
        <w:lastRenderedPageBreak/>
        <w:t>los intereses jurídicos de la actora, configurándose el supuesto previsto en la fracción I del artículo 261 de Código antedicho . . . . . . . . . . . . . . . . .</w:t>
      </w:r>
      <w:r>
        <w:rPr>
          <w:rFonts w:ascii="Calibri" w:hAnsi="Calibri" w:cs="Calibri"/>
          <w:color w:val="767171" w:themeColor="background2" w:themeShade="80"/>
          <w:sz w:val="26"/>
          <w:szCs w:val="26"/>
        </w:rPr>
        <w:t xml:space="preserve"> . . . . . . . . . </w:t>
      </w:r>
      <w:r>
        <w:rPr>
          <w:rFonts w:ascii="Calibri" w:hAnsi="Calibri" w:cs="Calibri"/>
          <w:bCs/>
          <w:iCs/>
          <w:color w:val="767171" w:themeColor="background2" w:themeShade="80"/>
          <w:sz w:val="26"/>
          <w:szCs w:val="26"/>
        </w:rPr>
        <w:t xml:space="preserve">. </w:t>
      </w:r>
    </w:p>
    <w:p w:rsidR="008E39A2" w:rsidRDefault="008E39A2" w:rsidP="008E39A2">
      <w:pPr>
        <w:pStyle w:val="Sangradetextonormal"/>
        <w:ind w:left="0" w:firstLine="708"/>
        <w:jc w:val="both"/>
        <w:rPr>
          <w:rFonts w:ascii="Calibri" w:hAnsi="Calibri" w:cs="Calibri"/>
          <w:bCs/>
          <w:iCs/>
          <w:color w:val="767171" w:themeColor="background2" w:themeShade="80"/>
          <w:sz w:val="20"/>
          <w:szCs w:val="20"/>
        </w:rPr>
      </w:pPr>
    </w:p>
    <w:p w:rsidR="008E39A2" w:rsidRDefault="008E39A2" w:rsidP="008E39A2">
      <w:pPr>
        <w:pStyle w:val="Sangradetextonormal"/>
        <w:ind w:left="0" w:firstLine="708"/>
        <w:jc w:val="both"/>
        <w:rPr>
          <w:rFonts w:ascii="Calibri" w:hAnsi="Calibri" w:cs="Calibri"/>
          <w:bCs/>
          <w:iCs/>
          <w:color w:val="767171" w:themeColor="background2" w:themeShade="80"/>
          <w:sz w:val="26"/>
          <w:szCs w:val="26"/>
        </w:rPr>
      </w:pPr>
      <w:r>
        <w:rPr>
          <w:rFonts w:ascii="Calibri" w:hAnsi="Calibri" w:cs="Calibri"/>
          <w:bCs/>
          <w:iCs/>
          <w:color w:val="767171" w:themeColor="background2" w:themeShade="80"/>
          <w:sz w:val="26"/>
          <w:szCs w:val="26"/>
        </w:rPr>
        <w:t xml:space="preserve">Causal de improcedencia que para este juzgador </w:t>
      </w:r>
      <w:r>
        <w:rPr>
          <w:rFonts w:ascii="Calibri" w:hAnsi="Calibri" w:cs="Calibri"/>
          <w:b/>
          <w:bCs/>
          <w:iCs/>
          <w:color w:val="767171" w:themeColor="background2" w:themeShade="80"/>
          <w:sz w:val="26"/>
          <w:szCs w:val="26"/>
        </w:rPr>
        <w:t>no se actualiza</w:t>
      </w:r>
      <w:r>
        <w:rPr>
          <w:rFonts w:ascii="Calibri" w:hAnsi="Calibri" w:cs="Calibri"/>
          <w:bCs/>
          <w:iCs/>
          <w:color w:val="767171" w:themeColor="background2" w:themeShade="80"/>
          <w:sz w:val="26"/>
          <w:szCs w:val="26"/>
        </w:rPr>
        <w:t xml:space="preserve">, toda vez que el acta de infracción impugnada, sin duda alguna afecta los intereses jurídicos de la representada de la actora; al haberse retirado, en garantía del pago de la multa que, en su caso, se impusiera, las placas de circulación del vehículo destinado a la prestación del servicio público de transporte en esta ciudad; lo que en la especie se dio, al imponerse una multa por la cantidad de $949.52 (Novecientos cuarenta y nueve pesos 52/100 Moneda Nacional), misma que, a la fecha, se encuentra pagada; habiendo resultado en consecuencia, afectada, por tal motivo, en su patrimonio. Lo anterior no obstante que el Inspector demandado considere el acta debidamente fundada y motivada, ya que ello no conlleva a la improcedencia del proceso administrativo; es más, debe decirse que tales aspectos serán analizados al entrar al estudio de fondo del presente negocio, a fin de determinar la legalidad y validez o la nulidad del acta de Infracción materia de la </w:t>
      </w:r>
      <w:r>
        <w:rPr>
          <w:rFonts w:ascii="Calibri" w:hAnsi="Calibri" w:cs="Calibri"/>
          <w:bCs/>
          <w:i/>
          <w:iCs/>
          <w:color w:val="767171" w:themeColor="background2" w:themeShade="80"/>
          <w:sz w:val="26"/>
          <w:szCs w:val="26"/>
        </w:rPr>
        <w:t>“</w:t>
      </w:r>
      <w:proofErr w:type="spellStart"/>
      <w:r>
        <w:rPr>
          <w:rFonts w:ascii="Calibri" w:hAnsi="Calibri" w:cs="Calibri"/>
          <w:bCs/>
          <w:i/>
          <w:iCs/>
          <w:color w:val="767171" w:themeColor="background2" w:themeShade="80"/>
          <w:sz w:val="26"/>
          <w:szCs w:val="26"/>
        </w:rPr>
        <w:t>litis</w:t>
      </w:r>
      <w:proofErr w:type="spellEnd"/>
      <w:r>
        <w:rPr>
          <w:rFonts w:ascii="Calibri" w:hAnsi="Calibri" w:cs="Calibri"/>
          <w:bCs/>
          <w:i/>
          <w:iCs/>
          <w:color w:val="767171" w:themeColor="background2" w:themeShade="80"/>
          <w:sz w:val="26"/>
          <w:szCs w:val="26"/>
        </w:rPr>
        <w:t>”</w:t>
      </w:r>
      <w:r>
        <w:rPr>
          <w:rFonts w:ascii="Calibri" w:hAnsi="Calibri" w:cs="Calibri"/>
          <w:bCs/>
          <w:iCs/>
          <w:color w:val="767171" w:themeColor="background2" w:themeShade="80"/>
          <w:sz w:val="26"/>
          <w:szCs w:val="26"/>
        </w:rPr>
        <w:t>. . . . . . . . . . . . . . . . . . . .</w:t>
      </w:r>
      <w:r>
        <w:rPr>
          <w:rFonts w:ascii="Calibri" w:hAnsi="Calibri" w:cs="Calibri"/>
          <w:color w:val="767171" w:themeColor="background2" w:themeShade="80"/>
          <w:sz w:val="26"/>
          <w:szCs w:val="26"/>
        </w:rPr>
        <w:t xml:space="preserve"> . . . . . . . . . . . . . . . . . . . . .</w:t>
      </w:r>
    </w:p>
    <w:p w:rsidR="008E39A2" w:rsidRDefault="008E39A2" w:rsidP="008E39A2">
      <w:pPr>
        <w:pStyle w:val="Sangradetextonormal"/>
        <w:jc w:val="both"/>
        <w:rPr>
          <w:rFonts w:ascii="Calibri" w:hAnsi="Calibri" w:cs="Calibri"/>
          <w:bCs/>
          <w:iCs/>
          <w:color w:val="767171" w:themeColor="background2" w:themeShade="80"/>
          <w:sz w:val="26"/>
          <w:szCs w:val="26"/>
        </w:rPr>
      </w:pPr>
    </w:p>
    <w:p w:rsidR="008E39A2" w:rsidRDefault="008E39A2" w:rsidP="008E39A2">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67171" w:themeColor="background2" w:themeShade="80"/>
          <w:sz w:val="26"/>
          <w:szCs w:val="26"/>
        </w:rPr>
        <w:t xml:space="preserve">Continuando con el análisis de las causales de improcedencia o sobreseimiento, se aprecia que el enjuiciado también invoca como causal de improcedencia, la prevista en la fracción IV del mencionado artículo 261, por considerar que la demanda no fue presentada en tiempo, lo que no resulta cierto </w:t>
      </w:r>
      <w:r>
        <w:rPr>
          <w:rFonts w:ascii="Calibri" w:hAnsi="Calibri" w:cs="Calibri"/>
          <w:bCs/>
          <w:iCs/>
          <w:color w:val="7F7F7F" w:themeColor="text1" w:themeTint="80"/>
          <w:sz w:val="26"/>
          <w:szCs w:val="26"/>
        </w:rPr>
        <w:t xml:space="preserve">pues la demanda fue presentada dentro del término de Ley tal y como se dejó asentado   en   el   considerando  Segundo,  a  mayor  precisión,  la  demanda  fue </w:t>
      </w:r>
    </w:p>
    <w:p w:rsidR="008E39A2" w:rsidRDefault="008E39A2" w:rsidP="008E39A2">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0274/2doJAM/2017-JN</w:t>
      </w:r>
    </w:p>
    <w:p w:rsidR="008E39A2" w:rsidRDefault="008E39A2" w:rsidP="008E39A2">
      <w:pPr>
        <w:pStyle w:val="Sangradetextonormal"/>
        <w:ind w:left="0"/>
        <w:jc w:val="both"/>
        <w:rPr>
          <w:rFonts w:ascii="Calibri" w:hAnsi="Calibri" w:cs="Calibri"/>
          <w:bCs/>
          <w:iCs/>
          <w:color w:val="7F7F7F" w:themeColor="text1" w:themeTint="80"/>
          <w:sz w:val="26"/>
          <w:szCs w:val="26"/>
        </w:rPr>
      </w:pPr>
    </w:p>
    <w:p w:rsidR="008E39A2" w:rsidRDefault="008E39A2" w:rsidP="008E39A2">
      <w:pPr>
        <w:pStyle w:val="Sangradetextonormal"/>
        <w:ind w:left="0"/>
        <w:jc w:val="both"/>
        <w:rPr>
          <w:rFonts w:ascii="Calibri" w:hAnsi="Calibri" w:cs="Calibri"/>
          <w:bCs/>
          <w:iCs/>
          <w:color w:val="767171" w:themeColor="background2" w:themeShade="80"/>
          <w:sz w:val="26"/>
          <w:szCs w:val="26"/>
        </w:rPr>
      </w:pPr>
      <w:proofErr w:type="gramStart"/>
      <w:r>
        <w:rPr>
          <w:rFonts w:ascii="Calibri" w:hAnsi="Calibri" w:cs="Calibri"/>
          <w:bCs/>
          <w:iCs/>
          <w:color w:val="7F7F7F" w:themeColor="text1" w:themeTint="80"/>
          <w:sz w:val="26"/>
          <w:szCs w:val="26"/>
        </w:rPr>
        <w:t>presentada</w:t>
      </w:r>
      <w:proofErr w:type="gramEnd"/>
      <w:r>
        <w:rPr>
          <w:rFonts w:ascii="Calibri" w:hAnsi="Calibri" w:cs="Calibri"/>
          <w:bCs/>
          <w:iCs/>
          <w:color w:val="7F7F7F" w:themeColor="text1" w:themeTint="80"/>
          <w:sz w:val="26"/>
          <w:szCs w:val="26"/>
        </w:rPr>
        <w:t xml:space="preserve"> </w:t>
      </w:r>
      <w:r>
        <w:rPr>
          <w:rFonts w:ascii="Calibri" w:hAnsi="Calibri" w:cs="Calibri"/>
          <w:bCs/>
          <w:iCs/>
          <w:color w:val="767171" w:themeColor="background2" w:themeShade="80"/>
          <w:sz w:val="26"/>
          <w:szCs w:val="26"/>
        </w:rPr>
        <w:t xml:space="preserve">al </w:t>
      </w:r>
      <w:r>
        <w:rPr>
          <w:rFonts w:ascii="Calibri" w:hAnsi="Calibri" w:cs="Calibri"/>
          <w:bCs/>
          <w:iCs/>
          <w:color w:val="767171" w:themeColor="background2" w:themeShade="80"/>
          <w:sz w:val="26"/>
          <w:szCs w:val="26"/>
          <w:u w:val="single"/>
        </w:rPr>
        <w:t>vigésimo noveno</w:t>
      </w:r>
      <w:r>
        <w:rPr>
          <w:rFonts w:ascii="Calibri" w:hAnsi="Calibri" w:cs="Calibri"/>
          <w:bCs/>
          <w:iCs/>
          <w:color w:val="767171" w:themeColor="background2" w:themeShade="80"/>
          <w:sz w:val="26"/>
          <w:szCs w:val="26"/>
        </w:rPr>
        <w:t xml:space="preserve"> día siguiente al de que surtió efectos la notificación del acta controvertida, de ahí que </w:t>
      </w:r>
      <w:r>
        <w:rPr>
          <w:rFonts w:ascii="Calibri" w:hAnsi="Calibri" w:cs="Calibri"/>
          <w:b/>
          <w:bCs/>
          <w:iCs/>
          <w:color w:val="767171" w:themeColor="background2" w:themeShade="80"/>
          <w:sz w:val="26"/>
          <w:szCs w:val="26"/>
        </w:rPr>
        <w:t>no se actualice</w:t>
      </w:r>
      <w:r>
        <w:rPr>
          <w:rFonts w:ascii="Calibri" w:hAnsi="Calibri" w:cs="Calibri"/>
          <w:bCs/>
          <w:iCs/>
          <w:color w:val="767171" w:themeColor="background2" w:themeShade="80"/>
          <w:sz w:val="26"/>
          <w:szCs w:val="26"/>
        </w:rPr>
        <w:t xml:space="preserve"> la causal en estudio.</w:t>
      </w:r>
      <w:r>
        <w:rPr>
          <w:rFonts w:ascii="Calibri" w:hAnsi="Calibri" w:cs="Calibri"/>
          <w:color w:val="767171" w:themeColor="background2" w:themeShade="80"/>
          <w:sz w:val="26"/>
          <w:szCs w:val="26"/>
        </w:rPr>
        <w:t xml:space="preserve"> . . . . . . . . . . . . . . . . . . . . . . . . . . . . . . . . . . . . . . . . . . . . . . . . . . . . . . . . . . . . . . </w:t>
      </w:r>
      <w:r>
        <w:rPr>
          <w:rFonts w:ascii="Calibri" w:hAnsi="Calibri" w:cs="Calibri"/>
          <w:bCs/>
          <w:iCs/>
          <w:color w:val="767171" w:themeColor="background2" w:themeShade="80"/>
          <w:sz w:val="26"/>
          <w:szCs w:val="26"/>
        </w:rPr>
        <w:t xml:space="preserve"> </w:t>
      </w:r>
    </w:p>
    <w:p w:rsidR="008E39A2" w:rsidRDefault="008E39A2" w:rsidP="008E39A2">
      <w:pPr>
        <w:pStyle w:val="Sangradetextonormal"/>
        <w:ind w:left="0" w:firstLine="708"/>
        <w:jc w:val="both"/>
        <w:rPr>
          <w:rFonts w:ascii="Calibri" w:hAnsi="Calibri" w:cs="Calibri"/>
          <w:bCs/>
          <w:iCs/>
          <w:color w:val="7F7F7F" w:themeColor="text1" w:themeTint="80"/>
          <w:sz w:val="26"/>
          <w:szCs w:val="26"/>
        </w:rPr>
      </w:pPr>
    </w:p>
    <w:p w:rsidR="008E39A2" w:rsidRDefault="008E39A2" w:rsidP="008E39A2">
      <w:pPr>
        <w:pStyle w:val="Sangradetextonormal"/>
        <w:ind w:left="0" w:firstLine="708"/>
        <w:jc w:val="both"/>
        <w:rPr>
          <w:rFonts w:ascii="Calibri" w:hAnsi="Calibri" w:cs="Calibri"/>
          <w:bCs/>
          <w:iCs/>
          <w:color w:val="7F7F7F" w:themeColor="text1" w:themeTint="80"/>
          <w:sz w:val="26"/>
          <w:szCs w:val="26"/>
        </w:rPr>
      </w:pPr>
      <w:r>
        <w:rPr>
          <w:rFonts w:ascii="Calibri" w:hAnsi="Calibri" w:cs="Calibri"/>
          <w:bCs/>
          <w:iCs/>
          <w:color w:val="7F7F7F" w:themeColor="text1" w:themeTint="80"/>
          <w:sz w:val="26"/>
          <w:szCs w:val="26"/>
        </w:rPr>
        <w:t xml:space="preserve">Finalmente, oficiosamente, </w:t>
      </w:r>
      <w:r>
        <w:rPr>
          <w:rFonts w:ascii="Calibri" w:hAnsi="Calibri" w:cs="Calibri"/>
          <w:b/>
          <w:bCs/>
          <w:iCs/>
          <w:color w:val="7F7F7F" w:themeColor="text1" w:themeTint="80"/>
          <w:sz w:val="26"/>
          <w:szCs w:val="26"/>
        </w:rPr>
        <w:t>no se advierte</w:t>
      </w:r>
      <w:r>
        <w:rPr>
          <w:rFonts w:ascii="Calibri" w:hAnsi="Calibri" w:cs="Calibri"/>
          <w:bCs/>
          <w:iCs/>
          <w:color w:val="7F7F7F" w:themeColor="text1" w:themeTint="80"/>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Pr>
          <w:rFonts w:ascii="Calibri" w:hAnsi="Calibri" w:cs="Calibri"/>
          <w:color w:val="767171" w:themeColor="background2" w:themeShade="80"/>
          <w:sz w:val="26"/>
          <w:szCs w:val="26"/>
        </w:rPr>
        <w:t xml:space="preserve"> . . . . . . . . . . .</w:t>
      </w:r>
      <w:r>
        <w:rPr>
          <w:rFonts w:ascii="Calibri" w:hAnsi="Calibri" w:cs="Calibri"/>
          <w:bCs/>
          <w:iCs/>
          <w:color w:val="7F7F7F" w:themeColor="text1" w:themeTint="80"/>
          <w:sz w:val="26"/>
          <w:szCs w:val="26"/>
        </w:rPr>
        <w:t xml:space="preserve"> . .</w:t>
      </w:r>
    </w:p>
    <w:p w:rsidR="008E39A2" w:rsidRDefault="008E39A2" w:rsidP="008E39A2">
      <w:pPr>
        <w:pStyle w:val="Sangradetextonormal"/>
        <w:ind w:left="0" w:firstLine="708"/>
        <w:jc w:val="both"/>
        <w:rPr>
          <w:rFonts w:ascii="Calibri" w:hAnsi="Calibri" w:cs="Calibri"/>
          <w:b/>
          <w:bCs/>
          <w:i/>
          <w:iCs/>
          <w:color w:val="767171" w:themeColor="background2" w:themeShade="80"/>
          <w:sz w:val="26"/>
          <w:szCs w:val="26"/>
        </w:rPr>
      </w:pPr>
      <w:r>
        <w:rPr>
          <w:rFonts w:ascii="Calibri" w:hAnsi="Calibri" w:cs="Calibri"/>
          <w:bCs/>
          <w:iCs/>
          <w:color w:val="7F7F7F" w:themeColor="text1" w:themeTint="80"/>
          <w:sz w:val="26"/>
          <w:szCs w:val="26"/>
        </w:rPr>
        <w:t xml:space="preserve"> </w:t>
      </w:r>
    </w:p>
    <w:p w:rsidR="008E39A2" w:rsidRDefault="008E39A2" w:rsidP="008E39A2">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SEXTO.- </w:t>
      </w:r>
      <w:r>
        <w:rPr>
          <w:rFonts w:ascii="Calibri" w:hAnsi="Calibri" w:cs="Calibri"/>
          <w:bCs/>
          <w:iCs/>
          <w:color w:val="767171" w:themeColor="background2" w:themeShade="80"/>
          <w:sz w:val="26"/>
          <w:szCs w:val="26"/>
        </w:rPr>
        <w:t>Previamente al análisis del planteamiento de fondo formulado por el demandante, es</w:t>
      </w:r>
      <w:r>
        <w:rPr>
          <w:rFonts w:ascii="Calibri" w:hAnsi="Calibri" w:cs="Calibri"/>
          <w:color w:val="767171" w:themeColor="background2" w:themeShade="80"/>
          <w:sz w:val="26"/>
          <w:szCs w:val="26"/>
        </w:rPr>
        <w:t xml:space="preserve">te Juzgador, en cumplimiento a lo establecido en la fracción I del </w:t>
      </w:r>
      <w:r>
        <w:rPr>
          <w:rFonts w:ascii="Calibri" w:hAnsi="Calibri" w:cs="Calibri"/>
          <w:color w:val="767171" w:themeColor="background2" w:themeShade="80"/>
          <w:sz w:val="26"/>
          <w:szCs w:val="26"/>
        </w:rPr>
        <w:lastRenderedPageBreak/>
        <w:t xml:space="preserve">artículo 299 del Código de Procedimiento y Justicia Administrativa  para  el Estado y los Municipios de Guanajuato, procede a fijar clara y precisamente los puntos controvertidos en el presente proceso administrativo. . . </w:t>
      </w:r>
    </w:p>
    <w:p w:rsidR="008E39A2" w:rsidRDefault="008E39A2" w:rsidP="008E39A2">
      <w:pPr>
        <w:ind w:firstLine="708"/>
        <w:jc w:val="both"/>
        <w:rPr>
          <w:rFonts w:ascii="Calibri" w:hAnsi="Calibri" w:cs="Calibri"/>
          <w:color w:val="767171" w:themeColor="background2" w:themeShade="80"/>
          <w:sz w:val="26"/>
          <w:szCs w:val="26"/>
        </w:rPr>
      </w:pPr>
    </w:p>
    <w:p w:rsidR="008E39A2" w:rsidRDefault="008E39A2" w:rsidP="008E39A2">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De lo expuesto por el actor en su escrito de demanda; lo expresado por el demandado en su escrito de contestación; así como de las constancias que integran la presente causa administrativa, se desprende que el Inspector de Movilidad, ciudadano *****, con fecha 13 trece de enero del año 2017 dos mil diecisiete, en el lugar que identificó como: </w:t>
      </w:r>
      <w:r>
        <w:rPr>
          <w:rFonts w:ascii="Calibri" w:hAnsi="Calibri" w:cs="Calibri"/>
          <w:i/>
          <w:iCs/>
          <w:color w:val="767171" w:themeColor="background2" w:themeShade="80"/>
          <w:sz w:val="26"/>
          <w:szCs w:val="26"/>
        </w:rPr>
        <w:t xml:space="preserve">“Terminal San Juan Bosco, colonia </w:t>
      </w:r>
      <w:proofErr w:type="spellStart"/>
      <w:r>
        <w:rPr>
          <w:rFonts w:ascii="Calibri" w:hAnsi="Calibri" w:cs="Calibri"/>
          <w:i/>
          <w:iCs/>
          <w:color w:val="767171" w:themeColor="background2" w:themeShade="80"/>
          <w:sz w:val="26"/>
          <w:szCs w:val="26"/>
        </w:rPr>
        <w:t>Bivar</w:t>
      </w:r>
      <w:proofErr w:type="spellEnd"/>
      <w:r>
        <w:rPr>
          <w:rFonts w:ascii="Calibri" w:hAnsi="Calibri" w:cs="Calibri"/>
          <w:i/>
          <w:iCs/>
          <w:color w:val="767171" w:themeColor="background2" w:themeShade="80"/>
          <w:sz w:val="26"/>
          <w:szCs w:val="26"/>
        </w:rPr>
        <w:t xml:space="preserve">”, </w:t>
      </w:r>
      <w:r>
        <w:rPr>
          <w:rFonts w:ascii="Calibri" w:hAnsi="Calibri" w:cs="Calibri"/>
          <w:iCs/>
          <w:color w:val="767171" w:themeColor="background2" w:themeShade="80"/>
          <w:sz w:val="26"/>
          <w:szCs w:val="26"/>
        </w:rPr>
        <w:t>de esta ciudad,</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levantó el acta de infracción con número 362503 (tres-seis-dos-cinco-cero-tres), en la que señaló como concepto de la infracción: </w:t>
      </w:r>
      <w:r>
        <w:rPr>
          <w:rFonts w:ascii="Calibri" w:hAnsi="Calibri" w:cs="Calibri"/>
          <w:i/>
          <w:color w:val="767171" w:themeColor="background2" w:themeShade="80"/>
          <w:sz w:val="26"/>
          <w:szCs w:val="26"/>
        </w:rPr>
        <w:t>“Por no cumplir con los horarios, rutas, itinerarios y/o frecuencias autorizados en la prestación del servicio. (Me percato….no cumple con el despacho #108….al realizar aforo por estudio de la ruta A 60 programado a las 16:47)”</w:t>
      </w:r>
      <w:r>
        <w:rPr>
          <w:rFonts w:ascii="Calibri" w:hAnsi="Calibri" w:cs="Calibri"/>
          <w:color w:val="767171" w:themeColor="background2" w:themeShade="80"/>
          <w:sz w:val="26"/>
          <w:szCs w:val="26"/>
        </w:rPr>
        <w:t xml:space="preserve">. . . . . . . . . . . . . . . . . . . . . . . . . . . . . . . . . . . . . . . . . . . . . . . . . . . . . . . . . . . . </w:t>
      </w:r>
    </w:p>
    <w:p w:rsidR="008E39A2" w:rsidRDefault="008E39A2" w:rsidP="008E39A2">
      <w:pPr>
        <w:jc w:val="both"/>
        <w:rPr>
          <w:rFonts w:ascii="Calibri" w:hAnsi="Calibri" w:cs="Calibri"/>
          <w:i/>
          <w:color w:val="767171" w:themeColor="background2" w:themeShade="80"/>
          <w:sz w:val="26"/>
          <w:szCs w:val="26"/>
        </w:rPr>
      </w:pPr>
    </w:p>
    <w:p w:rsidR="008E39A2" w:rsidRDefault="008E39A2" w:rsidP="008E39A2">
      <w:pPr>
        <w:ind w:firstLine="708"/>
        <w:jc w:val="both"/>
        <w:rPr>
          <w:rFonts w:ascii="Calibri" w:hAnsi="Calibri" w:cs="Calibri"/>
          <w:i/>
          <w:color w:val="767171" w:themeColor="background2" w:themeShade="80"/>
          <w:sz w:val="26"/>
          <w:szCs w:val="26"/>
        </w:rPr>
      </w:pPr>
      <w:r>
        <w:rPr>
          <w:rFonts w:ascii="Calibri" w:hAnsi="Calibri" w:cs="Calibri"/>
          <w:color w:val="767171" w:themeColor="background2" w:themeShade="80"/>
          <w:sz w:val="26"/>
          <w:szCs w:val="26"/>
        </w:rPr>
        <w:t xml:space="preserve">Especificando en el recuadro destinado a los datos del infractor: </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w:t>
      </w:r>
      <w:r>
        <w:rPr>
          <w:rFonts w:ascii="Calibri" w:hAnsi="Calibri" w:cs="Calibri"/>
          <w:i/>
          <w:color w:val="767171" w:themeColor="background2" w:themeShade="80"/>
          <w:sz w:val="26"/>
          <w:szCs w:val="26"/>
        </w:rPr>
        <w:t>domicilio: Carretera León-Lagos”</w:t>
      </w:r>
      <w:r>
        <w:rPr>
          <w:rFonts w:ascii="Calibri" w:hAnsi="Calibri" w:cs="Calibri"/>
          <w:i/>
          <w:iCs/>
          <w:color w:val="767171" w:themeColor="background2" w:themeShade="80"/>
          <w:sz w:val="26"/>
          <w:szCs w:val="26"/>
        </w:rPr>
        <w:t xml:space="preserve">; </w:t>
      </w:r>
      <w:r>
        <w:rPr>
          <w:rFonts w:ascii="Calibri" w:hAnsi="Calibri" w:cs="Calibri"/>
          <w:color w:val="767171" w:themeColor="background2" w:themeShade="80"/>
          <w:sz w:val="26"/>
          <w:szCs w:val="26"/>
        </w:rPr>
        <w:t xml:space="preserve">recogiendo en garantía del cumplimiento de la sanción económica que, en su caso, procediera, </w:t>
      </w:r>
      <w:r>
        <w:rPr>
          <w:rFonts w:ascii="Calibri" w:hAnsi="Calibri"/>
          <w:bCs/>
          <w:color w:val="767171" w:themeColor="background2" w:themeShade="80"/>
          <w:sz w:val="26"/>
          <w:szCs w:val="26"/>
        </w:rPr>
        <w:t>las placas de circulación del vehículo,</w:t>
      </w:r>
      <w:r>
        <w:rPr>
          <w:rFonts w:ascii="Calibri" w:hAnsi="Calibri" w:cs="Calibri"/>
          <w:color w:val="767171" w:themeColor="background2" w:themeShade="80"/>
          <w:sz w:val="26"/>
          <w:szCs w:val="26"/>
        </w:rPr>
        <w:t xml:space="preserve"> según consta en el cuerpo del acta materia de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w:t>
      </w:r>
      <w:r>
        <w:rPr>
          <w:rFonts w:ascii="Calibri" w:hAnsi="Calibri" w:cs="Calibri"/>
          <w:iCs/>
          <w:color w:val="767171" w:themeColor="background2" w:themeShade="80"/>
          <w:sz w:val="26"/>
          <w:szCs w:val="26"/>
        </w:rPr>
        <w:t xml:space="preserve">. Acta que dio origen a una sanción consistente en una multa por la cantidad de $949.52 (Novecientos cuarenta y nueve pesos 52/100 Moneda Nacional), misma que fue pagada, como se acredita con el original del recibo oficial </w:t>
      </w:r>
      <w:r>
        <w:rPr>
          <w:rFonts w:ascii="Calibri" w:hAnsi="Calibri" w:cs="Calibri"/>
          <w:color w:val="767171" w:themeColor="background2" w:themeShade="80"/>
          <w:sz w:val="26"/>
          <w:szCs w:val="26"/>
        </w:rPr>
        <w:t xml:space="preserve">AA 6635644 (seis-seis-tres-cinco-seis-cuatro-cuatro) de fecha 7 siete de abril del año en curso (palpable a foja 36 treinta y seis) . . . . . . . . . . . . . . . . . . </w:t>
      </w:r>
      <w:r>
        <w:rPr>
          <w:rFonts w:ascii="Calibri" w:hAnsi="Calibri" w:cs="Calibri"/>
          <w:iCs/>
          <w:color w:val="767171" w:themeColor="background2" w:themeShade="80"/>
          <w:sz w:val="26"/>
          <w:szCs w:val="26"/>
        </w:rPr>
        <w:t xml:space="preserve"> . </w:t>
      </w:r>
      <w:r>
        <w:rPr>
          <w:rFonts w:ascii="Calibri" w:hAnsi="Calibri"/>
          <w:color w:val="767171" w:themeColor="background2" w:themeShade="80"/>
          <w:sz w:val="26"/>
          <w:szCs w:val="26"/>
        </w:rPr>
        <w:t xml:space="preserve">. . . . . . . . . . . . . </w:t>
      </w:r>
      <w:r>
        <w:rPr>
          <w:rFonts w:ascii="Calibri" w:hAnsi="Calibri" w:cs="Calibri"/>
          <w:color w:val="767171" w:themeColor="background2" w:themeShade="80"/>
          <w:sz w:val="26"/>
          <w:szCs w:val="26"/>
        </w:rPr>
        <w:t>. . . . . . . . . . . . . . . . . . . . . . . . .</w:t>
      </w:r>
    </w:p>
    <w:p w:rsidR="008E39A2" w:rsidRDefault="008E39A2" w:rsidP="008E39A2">
      <w:pPr>
        <w:pStyle w:val="Textoindependiente"/>
        <w:tabs>
          <w:tab w:val="left" w:pos="3594"/>
        </w:tabs>
        <w:rPr>
          <w:rFonts w:ascii="Calibri" w:hAnsi="Calibri" w:cs="Calibri"/>
          <w:color w:val="767171" w:themeColor="background2" w:themeShade="80"/>
          <w:sz w:val="26"/>
          <w:szCs w:val="26"/>
          <w:lang w:val="es-ES"/>
        </w:rPr>
      </w:pPr>
    </w:p>
    <w:p w:rsidR="008E39A2" w:rsidRDefault="008E39A2" w:rsidP="008E39A2">
      <w:pPr>
        <w:pStyle w:val="Textoindependiente"/>
        <w:tabs>
          <w:tab w:val="left" w:pos="3594"/>
        </w:tabs>
        <w:rPr>
          <w:rFonts w:ascii="Calibri" w:hAnsi="Calibri" w:cs="Calibri"/>
          <w:iCs/>
          <w:color w:val="767171" w:themeColor="background2" w:themeShade="80"/>
          <w:sz w:val="26"/>
          <w:szCs w:val="26"/>
        </w:rPr>
      </w:pPr>
      <w:r>
        <w:rPr>
          <w:rFonts w:ascii="Calibri" w:hAnsi="Calibri" w:cs="Calibri"/>
          <w:color w:val="767171" w:themeColor="background2" w:themeShade="80"/>
          <w:sz w:val="26"/>
          <w:szCs w:val="26"/>
        </w:rPr>
        <w:t xml:space="preserve">              Así las cosas, el </w:t>
      </w:r>
      <w:proofErr w:type="spellStart"/>
      <w:r>
        <w:rPr>
          <w:rFonts w:ascii="Calibri" w:hAnsi="Calibri" w:cs="Calibri"/>
          <w:color w:val="767171" w:themeColor="background2" w:themeShade="80"/>
          <w:sz w:val="26"/>
          <w:szCs w:val="26"/>
        </w:rPr>
        <w:t>enjuiciante</w:t>
      </w:r>
      <w:proofErr w:type="spellEnd"/>
      <w:r>
        <w:rPr>
          <w:rFonts w:ascii="Calibri" w:hAnsi="Calibri" w:cs="Calibri"/>
          <w:color w:val="767171" w:themeColor="background2" w:themeShade="80"/>
          <w:sz w:val="26"/>
          <w:szCs w:val="26"/>
        </w:rPr>
        <w:t xml:space="preserve"> considera ilegal el acta de Infracción; ya que es irregular su fundamentación y motivación</w:t>
      </w:r>
      <w:r>
        <w:rPr>
          <w:rFonts w:ascii="Calibri" w:hAnsi="Calibri" w:cs="Calibri"/>
          <w:iCs/>
          <w:color w:val="767171" w:themeColor="background2" w:themeShade="80"/>
          <w:sz w:val="26"/>
          <w:szCs w:val="26"/>
        </w:rPr>
        <w:t xml:space="preserve">. . . . . . . . . . . . . . . . . . . . . . . . . . . . . . . </w:t>
      </w:r>
    </w:p>
    <w:p w:rsidR="008E39A2" w:rsidRDefault="008E39A2" w:rsidP="008E39A2">
      <w:pPr>
        <w:pStyle w:val="Textoindependiente"/>
        <w:tabs>
          <w:tab w:val="left" w:pos="3594"/>
        </w:tabs>
        <w:rPr>
          <w:rFonts w:ascii="Calibri" w:hAnsi="Calibri" w:cs="Calibri"/>
          <w:iCs/>
          <w:color w:val="767171" w:themeColor="background2" w:themeShade="80"/>
          <w:sz w:val="26"/>
          <w:szCs w:val="26"/>
        </w:rPr>
      </w:pPr>
    </w:p>
    <w:p w:rsidR="008E39A2" w:rsidRDefault="008E39A2" w:rsidP="008E39A2">
      <w:pPr>
        <w:pStyle w:val="Textoindependiente"/>
        <w:tabs>
          <w:tab w:val="left" w:pos="3594"/>
        </w:tabs>
        <w:rPr>
          <w:rFonts w:ascii="Calibri" w:hAnsi="Calibri" w:cs="Calibri"/>
          <w:iCs/>
          <w:color w:val="767171" w:themeColor="background2" w:themeShade="80"/>
          <w:sz w:val="26"/>
          <w:szCs w:val="26"/>
        </w:rPr>
      </w:pPr>
      <w:r>
        <w:rPr>
          <w:rFonts w:ascii="Calibri" w:hAnsi="Calibri" w:cs="Calibri"/>
          <w:iCs/>
          <w:color w:val="767171" w:themeColor="background2" w:themeShade="80"/>
          <w:sz w:val="26"/>
          <w:szCs w:val="26"/>
        </w:rPr>
        <w:t xml:space="preserve">            Por su parte, el inspector enjuiciado argumentó que el Acta está debidamente fundada y motivada y que fue levantada en flagrancia. . . . . . . . . . . . </w:t>
      </w:r>
    </w:p>
    <w:p w:rsidR="008E39A2" w:rsidRDefault="008E39A2" w:rsidP="008E39A2">
      <w:pPr>
        <w:pStyle w:val="Textoindependiente"/>
        <w:tabs>
          <w:tab w:val="left" w:pos="3594"/>
        </w:tabs>
        <w:rPr>
          <w:rFonts w:ascii="Calibri" w:hAnsi="Calibri" w:cs="Calibri"/>
          <w:iCs/>
          <w:color w:val="767171" w:themeColor="background2" w:themeShade="80"/>
          <w:sz w:val="26"/>
          <w:szCs w:val="26"/>
        </w:rPr>
      </w:pPr>
    </w:p>
    <w:p w:rsidR="008E39A2" w:rsidRDefault="008E39A2" w:rsidP="008E39A2">
      <w:pPr>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            Luego entonces, la “</w:t>
      </w:r>
      <w:proofErr w:type="spellStart"/>
      <w:r>
        <w:rPr>
          <w:rFonts w:ascii="Calibri" w:hAnsi="Calibri" w:cs="Calibri"/>
          <w:color w:val="767171" w:themeColor="background2" w:themeShade="80"/>
          <w:sz w:val="26"/>
          <w:szCs w:val="26"/>
        </w:rPr>
        <w:t>litis</w:t>
      </w:r>
      <w:proofErr w:type="spellEnd"/>
      <w:r>
        <w:rPr>
          <w:rFonts w:ascii="Calibri" w:hAnsi="Calibri" w:cs="Calibri"/>
          <w:color w:val="767171" w:themeColor="background2" w:themeShade="80"/>
          <w:sz w:val="26"/>
          <w:szCs w:val="26"/>
        </w:rPr>
        <w:t xml:space="preserve">” planteada se hace consistir en determinar la legalidad o ilegalidad del acta de infracción número 362503 (tres-seis-dos-cinco-cero-tres), de fecha 13  trece de enero del año 2017 dos mil diecisiete, </w:t>
      </w:r>
      <w:r>
        <w:rPr>
          <w:rFonts w:ascii="Calibri" w:hAnsi="Calibri" w:cs="Calibri"/>
          <w:color w:val="7F7F7F" w:themeColor="text1" w:themeTint="80"/>
          <w:sz w:val="26"/>
          <w:szCs w:val="26"/>
        </w:rPr>
        <w:t>además, la de establecer la procedencia o improcedencia de sus pretensiones</w:t>
      </w:r>
      <w:r>
        <w:rPr>
          <w:rFonts w:ascii="Calibri" w:hAnsi="Calibri" w:cs="Calibri"/>
          <w:iCs/>
          <w:color w:val="767171" w:themeColor="background2" w:themeShade="80"/>
          <w:sz w:val="26"/>
          <w:szCs w:val="26"/>
        </w:rPr>
        <w:t>.  . . .</w:t>
      </w:r>
      <w:r>
        <w:rPr>
          <w:rFonts w:ascii="Calibri" w:hAnsi="Calibri" w:cs="Calibri"/>
          <w:color w:val="767171" w:themeColor="background2" w:themeShade="80"/>
          <w:sz w:val="26"/>
          <w:szCs w:val="26"/>
        </w:rPr>
        <w:t xml:space="preserve"> . . . . . . </w:t>
      </w:r>
    </w:p>
    <w:p w:rsidR="008E39A2" w:rsidRDefault="008E39A2" w:rsidP="008E39A2">
      <w:pPr>
        <w:jc w:val="both"/>
        <w:rPr>
          <w:color w:val="767171" w:themeColor="background2" w:themeShade="80"/>
          <w:sz w:val="22"/>
        </w:rPr>
      </w:pPr>
    </w:p>
    <w:p w:rsidR="008E39A2" w:rsidRDefault="008E39A2" w:rsidP="008E39A2">
      <w:pPr>
        <w:pStyle w:val="Textoindependiente"/>
        <w:ind w:firstLine="708"/>
        <w:rPr>
          <w:rFonts w:ascii="Calibri" w:hAnsi="Calibri"/>
          <w:color w:val="767171" w:themeColor="background2" w:themeShade="80"/>
          <w:sz w:val="26"/>
        </w:rPr>
      </w:pPr>
      <w:r>
        <w:rPr>
          <w:rFonts w:ascii="Calibri" w:hAnsi="Calibri" w:cs="Calibri"/>
          <w:b/>
          <w:bCs/>
          <w:i/>
          <w:iCs/>
          <w:color w:val="767171" w:themeColor="background2" w:themeShade="80"/>
          <w:sz w:val="26"/>
          <w:szCs w:val="26"/>
        </w:rPr>
        <w:t xml:space="preserve">SÉPTIMO.- </w:t>
      </w:r>
      <w:r>
        <w:rPr>
          <w:rFonts w:ascii="Calibri" w:hAnsi="Calibri" w:cs="Calibri"/>
          <w:color w:val="767171" w:themeColor="background2" w:themeShade="80"/>
          <w:sz w:val="26"/>
          <w:szCs w:val="26"/>
          <w:lang w:val="es-ES"/>
        </w:rPr>
        <w:t xml:space="preserve">No existiendo impedimento legal, se procede a analizar los conceptos de impugnación hechos valer por la parte actora, </w:t>
      </w:r>
      <w:r>
        <w:rPr>
          <w:rFonts w:ascii="Calibri" w:hAnsi="Calibri"/>
          <w:color w:val="767171" w:themeColor="background2" w:themeShade="80"/>
          <w:sz w:val="26"/>
        </w:rPr>
        <w:t xml:space="preserve">aplicando el principio de mayor consecuencia anulatoria de los actos impugnados y que pudieran traerle un mayor beneficio, en concordancia con los principios de congruencia y </w:t>
      </w:r>
      <w:r>
        <w:rPr>
          <w:rFonts w:ascii="Calibri" w:hAnsi="Calibri"/>
          <w:color w:val="767171" w:themeColor="background2" w:themeShade="80"/>
          <w:sz w:val="26"/>
        </w:rPr>
        <w:lastRenderedPageBreak/>
        <w:t xml:space="preserve">exhaustividad que deben regir en toda sentencia; este Juzgador se abocará al estudio del concepto de impugnación que considera trascendental para emitir la presente resolución, como lo es el que refiere como </w:t>
      </w:r>
      <w:r>
        <w:rPr>
          <w:rFonts w:ascii="Calibri" w:hAnsi="Calibri"/>
          <w:b/>
          <w:color w:val="767171" w:themeColor="background2" w:themeShade="80"/>
          <w:sz w:val="26"/>
        </w:rPr>
        <w:t>Primero</w:t>
      </w:r>
      <w:r>
        <w:rPr>
          <w:rFonts w:ascii="Calibri" w:hAnsi="Calibri"/>
          <w:color w:val="767171" w:themeColor="background2" w:themeShade="80"/>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8E39A2" w:rsidRDefault="008E39A2" w:rsidP="008E39A2">
      <w:pPr>
        <w:ind w:firstLine="708"/>
        <w:jc w:val="both"/>
        <w:rPr>
          <w:color w:val="767171" w:themeColor="background2" w:themeShade="80"/>
          <w:lang w:val="es-MX"/>
        </w:rPr>
      </w:pPr>
    </w:p>
    <w:p w:rsidR="008E39A2" w:rsidRDefault="008E39A2" w:rsidP="008E39A2">
      <w:pPr>
        <w:ind w:firstLine="708"/>
        <w:jc w:val="both"/>
        <w:rPr>
          <w:rFonts w:ascii="Calibri" w:eastAsia="Times New Roman" w:hAnsi="Calibri" w:cs="Calibri"/>
          <w:i/>
          <w:iCs/>
          <w:color w:val="767171" w:themeColor="background2" w:themeShade="80"/>
          <w:sz w:val="20"/>
          <w:szCs w:val="20"/>
        </w:rPr>
      </w:pPr>
      <w:r>
        <w:rPr>
          <w:rFonts w:ascii="Calibri" w:hAnsi="Calibri"/>
          <w:b/>
          <w:bCs/>
          <w:i/>
          <w:iCs/>
          <w:color w:val="767171" w:themeColor="background2" w:themeShade="80"/>
          <w:sz w:val="26"/>
        </w:rPr>
        <w:t xml:space="preserve">“CONCEPTOS DE VIOLACIÓN. EL JUEZ NO ESTÁ OBLIGADO A TRANSCRIBIRLOS. </w:t>
      </w:r>
      <w:r>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Pr>
          <w:rFonts w:ascii="Calibri" w:hAnsi="Calibri" w:cs="Calibri"/>
          <w:i/>
          <w:iCs/>
          <w:color w:val="767171" w:themeColor="background2" w:themeShade="80"/>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w:t>
      </w:r>
    </w:p>
    <w:p w:rsidR="008E39A2" w:rsidRDefault="008E39A2" w:rsidP="008E39A2">
      <w:pPr>
        <w:ind w:firstLine="708"/>
        <w:jc w:val="both"/>
        <w:rPr>
          <w:rFonts w:ascii="Calibri" w:hAnsi="Calibri" w:cs="Calibri"/>
          <w:i/>
          <w:iCs/>
          <w:color w:val="767171" w:themeColor="background2" w:themeShade="80"/>
          <w:sz w:val="22"/>
        </w:rPr>
      </w:pPr>
      <w:r>
        <w:rPr>
          <w:rFonts w:ascii="Calibri" w:hAnsi="Calibri" w:cs="Calibri"/>
          <w:i/>
          <w:iCs/>
          <w:color w:val="767171" w:themeColor="background2" w:themeShade="80"/>
          <w:sz w:val="22"/>
        </w:rPr>
        <w:t xml:space="preserve"> </w:t>
      </w:r>
    </w:p>
    <w:p w:rsidR="008E39A2" w:rsidRDefault="008E39A2" w:rsidP="008E39A2">
      <w:pPr>
        <w:ind w:firstLine="708"/>
        <w:jc w:val="both"/>
        <w:rPr>
          <w:rFonts w:ascii="Calibri" w:hAnsi="Calibri" w:cs="Calibri"/>
          <w:i/>
          <w:color w:val="767171" w:themeColor="background2" w:themeShade="80"/>
          <w:sz w:val="26"/>
          <w:szCs w:val="26"/>
        </w:rPr>
      </w:pPr>
      <w:r>
        <w:rPr>
          <w:rFonts w:ascii="Calibri" w:hAnsi="Calibri" w:cs="Calibri"/>
          <w:color w:val="767171" w:themeColor="background2" w:themeShade="80"/>
          <w:sz w:val="26"/>
          <w:szCs w:val="26"/>
        </w:rPr>
        <w:t xml:space="preserve">Así las cosas, en el primer concepto de impugnación, el impetrante expuso: </w:t>
      </w:r>
      <w:r>
        <w:rPr>
          <w:rFonts w:ascii="Calibri" w:hAnsi="Calibri" w:cs="Calibri"/>
          <w:b/>
          <w:i/>
          <w:color w:val="767171" w:themeColor="background2" w:themeShade="80"/>
          <w:sz w:val="26"/>
          <w:szCs w:val="26"/>
        </w:rPr>
        <w:t>“PRIMERO</w:t>
      </w:r>
      <w:r>
        <w:rPr>
          <w:rFonts w:ascii="Calibri" w:hAnsi="Calibri" w:cs="Calibri"/>
          <w:i/>
          <w:color w:val="767171" w:themeColor="background2" w:themeShade="80"/>
          <w:sz w:val="26"/>
          <w:szCs w:val="26"/>
        </w:rPr>
        <w:t>.- Causa agravio….</w:t>
      </w:r>
      <w:r>
        <w:rPr>
          <w:rFonts w:ascii="Calibri" w:hAnsi="Calibri" w:cs="Calibri"/>
          <w:b/>
          <w:i/>
          <w:color w:val="767171" w:themeColor="background2" w:themeShade="80"/>
          <w:sz w:val="26"/>
          <w:szCs w:val="26"/>
        </w:rPr>
        <w:t>POR SU IRREGULAR</w:t>
      </w:r>
      <w:r>
        <w:rPr>
          <w:rFonts w:ascii="Calibri" w:hAnsi="Calibri" w:cs="Calibri"/>
          <w:i/>
          <w:color w:val="767171" w:themeColor="background2" w:themeShade="80"/>
          <w:sz w:val="26"/>
          <w:szCs w:val="26"/>
        </w:rPr>
        <w:t xml:space="preserve"> </w:t>
      </w:r>
      <w:r>
        <w:rPr>
          <w:rFonts w:ascii="Calibri" w:hAnsi="Calibri" w:cs="Calibri"/>
          <w:b/>
          <w:i/>
          <w:color w:val="767171" w:themeColor="background2" w:themeShade="80"/>
          <w:sz w:val="26"/>
          <w:szCs w:val="26"/>
        </w:rPr>
        <w:t>FUNDAMENTACION Y MOTIVACION</w:t>
      </w:r>
      <w:r>
        <w:rPr>
          <w:rFonts w:ascii="Calibri" w:hAnsi="Calibri" w:cs="Calibri"/>
          <w:i/>
          <w:color w:val="767171" w:themeColor="background2" w:themeShade="80"/>
          <w:sz w:val="26"/>
          <w:szCs w:val="26"/>
        </w:rPr>
        <w:t>……..toda vez que el inspector de Movilidad…… aplicó como hipótesis normativa………el artículo 206, fracción II…….numeral….</w:t>
      </w:r>
      <w:r>
        <w:rPr>
          <w:rFonts w:ascii="Calibri" w:hAnsi="Calibri" w:cs="Calibri"/>
          <w:b/>
          <w:i/>
          <w:color w:val="767171" w:themeColor="background2" w:themeShade="80"/>
          <w:sz w:val="26"/>
          <w:szCs w:val="26"/>
        </w:rPr>
        <w:t>alude claramente a las obligaciones y prohibiciones atribuibles a las</w:t>
      </w:r>
      <w:r>
        <w:rPr>
          <w:rFonts w:ascii="Calibri" w:hAnsi="Calibri" w:cs="Calibri"/>
          <w:i/>
          <w:color w:val="767171" w:themeColor="background2" w:themeShade="80"/>
          <w:sz w:val="26"/>
          <w:szCs w:val="26"/>
        </w:rPr>
        <w:t xml:space="preserve"> </w:t>
      </w:r>
      <w:r>
        <w:rPr>
          <w:rFonts w:ascii="Calibri" w:hAnsi="Calibri" w:cs="Calibri"/>
          <w:b/>
          <w:i/>
          <w:color w:val="767171" w:themeColor="background2" w:themeShade="80"/>
          <w:sz w:val="26"/>
          <w:szCs w:val="26"/>
        </w:rPr>
        <w:t>personas conductoras de vehículos</w:t>
      </w:r>
      <w:r>
        <w:rPr>
          <w:rFonts w:ascii="Calibri" w:hAnsi="Calibri" w:cs="Calibri"/>
          <w:i/>
          <w:color w:val="767171" w:themeColor="background2" w:themeShade="80"/>
          <w:sz w:val="26"/>
          <w:szCs w:val="26"/>
        </w:rPr>
        <w:t>……..sin embargo, en el apartado……debió asentar los datos del operador….en su lugar asentó el nombre de mi representada………”</w:t>
      </w:r>
      <w:r>
        <w:rPr>
          <w:rFonts w:ascii="Calibri" w:hAnsi="Calibri" w:cs="Calibri"/>
          <w:iCs/>
          <w:color w:val="767171" w:themeColor="background2" w:themeShade="80"/>
          <w:sz w:val="26"/>
          <w:szCs w:val="26"/>
        </w:rPr>
        <w:t xml:space="preserve">. . . . . </w:t>
      </w:r>
    </w:p>
    <w:p w:rsidR="008E39A2" w:rsidRDefault="008E39A2" w:rsidP="008E39A2">
      <w:pPr>
        <w:ind w:firstLine="708"/>
        <w:jc w:val="both"/>
        <w:rPr>
          <w:rFonts w:ascii="Calibri" w:hAnsi="Calibri" w:cs="Calibri"/>
          <w:iCs/>
          <w:color w:val="767171" w:themeColor="background2" w:themeShade="80"/>
          <w:sz w:val="26"/>
          <w:szCs w:val="26"/>
        </w:rPr>
      </w:pPr>
    </w:p>
    <w:p w:rsidR="008E39A2" w:rsidRDefault="008E39A2" w:rsidP="008E39A2">
      <w:pPr>
        <w:ind w:firstLine="708"/>
        <w:jc w:val="both"/>
        <w:rPr>
          <w:rFonts w:ascii="Calibri" w:hAnsi="Calibri" w:cs="Calibri"/>
          <w:color w:val="767171" w:themeColor="background2" w:themeShade="80"/>
          <w:sz w:val="26"/>
          <w:szCs w:val="26"/>
        </w:rPr>
      </w:pPr>
      <w:r>
        <w:rPr>
          <w:rFonts w:ascii="Calibri" w:hAnsi="Calibri" w:cs="Calibri"/>
          <w:iCs/>
          <w:color w:val="767171" w:themeColor="background2" w:themeShade="80"/>
          <w:sz w:val="26"/>
          <w:szCs w:val="26"/>
        </w:rPr>
        <w:t xml:space="preserve">A lo referido por el actor, el Inspector enjuiciado, </w:t>
      </w:r>
      <w:r>
        <w:rPr>
          <w:rFonts w:ascii="Calibri" w:hAnsi="Calibri" w:cs="Calibri"/>
          <w:i/>
          <w:iCs/>
          <w:color w:val="767171" w:themeColor="background2" w:themeShade="80"/>
          <w:sz w:val="26"/>
          <w:szCs w:val="26"/>
        </w:rPr>
        <w:t>“grosso modo”</w:t>
      </w:r>
      <w:r>
        <w:rPr>
          <w:rFonts w:ascii="Calibri" w:hAnsi="Calibri" w:cs="Calibri"/>
          <w:iCs/>
          <w:color w:val="767171" w:themeColor="background2" w:themeShade="80"/>
          <w:sz w:val="26"/>
          <w:szCs w:val="26"/>
        </w:rPr>
        <w:t xml:space="preserve">, manifestó que el acta contiene los dispositivos legales que lo facultan a emitir el acto; que el acto se encuentra debidamente fundado y motivado; que hay una adecuación al caso concreto; y, que no causa agravio alguno. . . . . . . . . . . . . . . . . . </w:t>
      </w:r>
    </w:p>
    <w:p w:rsidR="008E39A2" w:rsidRDefault="008E39A2" w:rsidP="008E39A2">
      <w:pPr>
        <w:jc w:val="both"/>
        <w:rPr>
          <w:rFonts w:ascii="Calibri" w:hAnsi="Calibri" w:cs="Calibri"/>
          <w:bCs/>
          <w:color w:val="767171" w:themeColor="background2" w:themeShade="80"/>
          <w:sz w:val="26"/>
          <w:szCs w:val="26"/>
        </w:rPr>
      </w:pPr>
    </w:p>
    <w:p w:rsidR="008E39A2" w:rsidRDefault="008E39A2" w:rsidP="008E39A2">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Así las cosas, analizado que es lo expuesto por las partes, así como el acta de infracción impugnada, lo mencionado en tal concepto de impugnación resulta </w:t>
      </w:r>
      <w:r>
        <w:rPr>
          <w:rFonts w:ascii="Calibri" w:hAnsi="Calibri" w:cs="Calibri"/>
          <w:b/>
          <w:bCs/>
          <w:color w:val="767171" w:themeColor="background2" w:themeShade="80"/>
          <w:sz w:val="26"/>
          <w:szCs w:val="26"/>
        </w:rPr>
        <w:t xml:space="preserve">fundado </w:t>
      </w:r>
      <w:r>
        <w:rPr>
          <w:rFonts w:ascii="Calibri" w:hAnsi="Calibri" w:cs="Calibri"/>
          <w:bCs/>
          <w:color w:val="767171" w:themeColor="background2" w:themeShade="80"/>
          <w:sz w:val="26"/>
          <w:szCs w:val="26"/>
        </w:rPr>
        <w:t xml:space="preserve">en cuanto a la irregular fundamentación y motivación de la boleta; toda vez que quien resuelve aprecia, tal y como lo menciona el impetrante, que el inspector demandado, emitió el acta de Infracción número </w:t>
      </w:r>
      <w:r>
        <w:rPr>
          <w:rFonts w:ascii="Calibri" w:hAnsi="Calibri" w:cs="Calibri"/>
          <w:color w:val="767171" w:themeColor="background2" w:themeShade="80"/>
          <w:sz w:val="26"/>
          <w:szCs w:val="26"/>
        </w:rPr>
        <w:t xml:space="preserve">362503 (tres-seis-dos-cinco-cero-tres), de fecha 13 trece de enero del año  2017  dos  mil  diecisiete, </w:t>
      </w:r>
      <w:r>
        <w:rPr>
          <w:rFonts w:ascii="Calibri" w:hAnsi="Calibri" w:cs="Calibri"/>
          <w:bCs/>
          <w:color w:val="767171" w:themeColor="background2" w:themeShade="80"/>
          <w:sz w:val="26"/>
          <w:szCs w:val="26"/>
        </w:rPr>
        <w:t xml:space="preserve">en </w:t>
      </w:r>
    </w:p>
    <w:p w:rsidR="008E39A2" w:rsidRDefault="008E39A2" w:rsidP="008E39A2">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0274/2doJAM/2017-JN</w:t>
      </w:r>
    </w:p>
    <w:p w:rsidR="008E39A2" w:rsidRDefault="008E39A2" w:rsidP="008E39A2">
      <w:pPr>
        <w:jc w:val="both"/>
        <w:rPr>
          <w:rFonts w:ascii="Calibri" w:hAnsi="Calibri" w:cs="Calibri"/>
          <w:bCs/>
          <w:color w:val="767171" w:themeColor="background2" w:themeShade="80"/>
          <w:sz w:val="26"/>
          <w:szCs w:val="26"/>
        </w:rPr>
      </w:pPr>
    </w:p>
    <w:p w:rsidR="008E39A2" w:rsidRDefault="008E39A2" w:rsidP="008E39A2">
      <w:pPr>
        <w:jc w:val="both"/>
        <w:rPr>
          <w:rFonts w:ascii="Calibri" w:hAnsi="Calibri" w:cs="Calibri"/>
          <w:bCs/>
          <w:color w:val="767171" w:themeColor="background2" w:themeShade="80"/>
          <w:sz w:val="26"/>
          <w:szCs w:val="26"/>
        </w:rPr>
      </w:pPr>
      <w:proofErr w:type="gramStart"/>
      <w:r>
        <w:rPr>
          <w:rFonts w:ascii="Calibri" w:hAnsi="Calibri" w:cs="Calibri"/>
          <w:bCs/>
          <w:color w:val="767171" w:themeColor="background2" w:themeShade="80"/>
          <w:sz w:val="26"/>
          <w:szCs w:val="26"/>
        </w:rPr>
        <w:lastRenderedPageBreak/>
        <w:t>contravención</w:t>
      </w:r>
      <w:proofErr w:type="gramEnd"/>
      <w:r>
        <w:rPr>
          <w:rFonts w:ascii="Calibri" w:hAnsi="Calibri" w:cs="Calibri"/>
          <w:bCs/>
          <w:color w:val="767171" w:themeColor="background2" w:themeShade="80"/>
          <w:sz w:val="26"/>
          <w:szCs w:val="26"/>
        </w:rPr>
        <w:t xml:space="preserve"> del artículo señalado como infringido, conforme lo que se dilucida a continuación: . . . . . . . . . . . . . . . . . . . . . . . . . . . . . . . . . . . . . . . . . . . . . . . . .</w:t>
      </w:r>
      <w:r>
        <w:rPr>
          <w:rFonts w:ascii="Calibri" w:hAnsi="Calibri" w:cs="Calibri"/>
          <w:color w:val="767171" w:themeColor="background2" w:themeShade="80"/>
          <w:sz w:val="26"/>
          <w:szCs w:val="26"/>
        </w:rPr>
        <w:t xml:space="preserve"> . . . . . .</w:t>
      </w:r>
    </w:p>
    <w:p w:rsidR="008E39A2" w:rsidRDefault="008E39A2" w:rsidP="008E39A2">
      <w:pPr>
        <w:jc w:val="both"/>
        <w:rPr>
          <w:rFonts w:ascii="Calibri" w:hAnsi="Calibri" w:cs="Calibri"/>
          <w:bCs/>
          <w:color w:val="767171" w:themeColor="background2" w:themeShade="80"/>
          <w:sz w:val="20"/>
          <w:szCs w:val="20"/>
        </w:rPr>
      </w:pPr>
    </w:p>
    <w:p w:rsidR="008E39A2" w:rsidRDefault="008E39A2" w:rsidP="008E39A2">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En el asunto que nos ocupa, si bien es cierto que la autoridad enjuiciada citó en el acta impugnada, como artículo infringido el 206, fracción II del Reglamento de Transporte Municipal de León, Guanajuato; cierto es también que la emitió en contravención de dicho dispositivo, al señalar como infractor a </w:t>
      </w:r>
      <w:r>
        <w:rPr>
          <w:rFonts w:ascii="Calibri" w:hAnsi="Calibri" w:cs="Calibri"/>
          <w:bCs/>
          <w:i/>
          <w:color w:val="767171" w:themeColor="background2" w:themeShade="80"/>
          <w:sz w:val="26"/>
          <w:szCs w:val="26"/>
        </w:rPr>
        <w:t>*****</w:t>
      </w:r>
      <w:r>
        <w:rPr>
          <w:rFonts w:ascii="Calibri" w:hAnsi="Calibri" w:cs="Calibri"/>
          <w:bCs/>
          <w:color w:val="767171" w:themeColor="background2" w:themeShade="80"/>
          <w:sz w:val="26"/>
          <w:szCs w:val="26"/>
        </w:rPr>
        <w:t xml:space="preserve"> y no al conductor del vehículo automotor destinado a la prestación del servicio público de transporte. . . . . . . . . . . . . . . . . . . . . . . . . . . . . . . </w:t>
      </w:r>
    </w:p>
    <w:p w:rsidR="008E39A2" w:rsidRDefault="008E39A2" w:rsidP="008E39A2">
      <w:pPr>
        <w:ind w:firstLine="708"/>
        <w:jc w:val="both"/>
        <w:rPr>
          <w:rFonts w:ascii="Calibri" w:hAnsi="Calibri" w:cs="Calibri"/>
          <w:bCs/>
          <w:color w:val="767171" w:themeColor="background2" w:themeShade="80"/>
          <w:sz w:val="26"/>
          <w:szCs w:val="26"/>
        </w:rPr>
      </w:pPr>
    </w:p>
    <w:p w:rsidR="008E39A2" w:rsidRDefault="008E39A2" w:rsidP="008E39A2">
      <w:pPr>
        <w:ind w:firstLine="708"/>
        <w:jc w:val="both"/>
        <w:rPr>
          <w:rFonts w:asciiTheme="minorHAnsi" w:hAnsiTheme="minorHAnsi" w:cs="Calibri"/>
          <w:bCs/>
          <w:color w:val="767171" w:themeColor="background2" w:themeShade="80"/>
          <w:sz w:val="26"/>
          <w:szCs w:val="26"/>
        </w:rPr>
      </w:pPr>
      <w:r>
        <w:rPr>
          <w:rFonts w:asciiTheme="minorHAnsi" w:hAnsiTheme="minorHAnsi" w:cs="Calibri"/>
          <w:bCs/>
          <w:color w:val="767171" w:themeColor="background2" w:themeShade="80"/>
          <w:sz w:val="26"/>
          <w:szCs w:val="26"/>
        </w:rPr>
        <w:t xml:space="preserve">En efecto, el artículo 206 del Reglamento de Transporte Municipal de León, Guanajuato, establece: </w:t>
      </w:r>
      <w:r>
        <w:rPr>
          <w:rFonts w:asciiTheme="minorHAnsi" w:hAnsiTheme="minorHAnsi" w:cs="Calibri"/>
          <w:bCs/>
          <w:i/>
          <w:color w:val="767171" w:themeColor="background2" w:themeShade="80"/>
          <w:sz w:val="26"/>
          <w:szCs w:val="26"/>
        </w:rPr>
        <w:t>“</w:t>
      </w:r>
      <w:r>
        <w:rPr>
          <w:rFonts w:asciiTheme="minorHAnsi" w:hAnsiTheme="minorHAnsi" w:cs="Arial"/>
          <w:b/>
          <w:bCs/>
          <w:i/>
          <w:color w:val="767171" w:themeColor="background2" w:themeShade="80"/>
          <w:sz w:val="26"/>
          <w:szCs w:val="26"/>
          <w:lang w:val="es-MX"/>
        </w:rPr>
        <w:t xml:space="preserve">Artículo 206.- </w:t>
      </w:r>
      <w:r>
        <w:rPr>
          <w:rFonts w:asciiTheme="minorHAnsi" w:hAnsiTheme="minorHAnsi" w:cs="Arial"/>
          <w:i/>
          <w:color w:val="767171" w:themeColor="background2" w:themeShade="80"/>
          <w:sz w:val="26"/>
          <w:szCs w:val="26"/>
          <w:lang w:val="es-MX"/>
        </w:rPr>
        <w:t>Los conductores de los vehículos afectos a la prestación del servicio, tendrán las siguientes obligaciones</w:t>
      </w:r>
      <w:r>
        <w:rPr>
          <w:rFonts w:asciiTheme="minorHAnsi" w:hAnsiTheme="minorHAnsi" w:cs="Calibri"/>
          <w:bCs/>
          <w:color w:val="767171" w:themeColor="background2" w:themeShade="80"/>
          <w:sz w:val="26"/>
          <w:szCs w:val="26"/>
        </w:rPr>
        <w:t>:……..”. . . .</w:t>
      </w:r>
      <w:r>
        <w:rPr>
          <w:rFonts w:ascii="Calibri" w:hAnsi="Calibri" w:cs="Calibri"/>
          <w:color w:val="767171" w:themeColor="background2" w:themeShade="80"/>
          <w:sz w:val="26"/>
          <w:szCs w:val="26"/>
        </w:rPr>
        <w:t xml:space="preserve"> </w:t>
      </w:r>
    </w:p>
    <w:p w:rsidR="008E39A2" w:rsidRDefault="008E39A2" w:rsidP="008E39A2">
      <w:pPr>
        <w:jc w:val="both"/>
        <w:rPr>
          <w:rFonts w:asciiTheme="minorHAnsi" w:hAnsiTheme="minorHAnsi" w:cs="Calibri"/>
          <w:bCs/>
          <w:color w:val="767171" w:themeColor="background2" w:themeShade="80"/>
          <w:sz w:val="26"/>
          <w:szCs w:val="26"/>
        </w:rPr>
      </w:pPr>
    </w:p>
    <w:p w:rsidR="008E39A2" w:rsidRDefault="008E39A2" w:rsidP="008E39A2">
      <w:pPr>
        <w:ind w:firstLine="708"/>
        <w:jc w:val="both"/>
        <w:rPr>
          <w:rFonts w:ascii="Calibri" w:hAnsi="Calibri" w:cs="Calibri"/>
          <w:b/>
          <w:color w:val="767171" w:themeColor="background2" w:themeShade="80"/>
          <w:sz w:val="26"/>
          <w:szCs w:val="26"/>
        </w:rPr>
      </w:pPr>
      <w:r>
        <w:rPr>
          <w:rFonts w:ascii="Calibri" w:hAnsi="Calibri" w:cs="Calibri"/>
          <w:bCs/>
          <w:color w:val="767171" w:themeColor="background2" w:themeShade="80"/>
          <w:sz w:val="26"/>
          <w:szCs w:val="26"/>
        </w:rPr>
        <w:t xml:space="preserve">Luego entonces, de la lectura de dicho precepto legal, se desprende claramente que el mismo está referido a las </w:t>
      </w:r>
      <w:r>
        <w:rPr>
          <w:rFonts w:ascii="Calibri" w:hAnsi="Calibri" w:cs="Calibri"/>
          <w:b/>
          <w:bCs/>
          <w:color w:val="767171" w:themeColor="background2" w:themeShade="80"/>
          <w:sz w:val="26"/>
          <w:szCs w:val="26"/>
        </w:rPr>
        <w:t>obligaciones de una persona física</w:t>
      </w:r>
      <w:r>
        <w:rPr>
          <w:rFonts w:ascii="Calibri" w:hAnsi="Calibri" w:cs="Calibri"/>
          <w:bCs/>
          <w:color w:val="767171" w:themeColor="background2" w:themeShade="80"/>
          <w:sz w:val="26"/>
          <w:szCs w:val="26"/>
        </w:rPr>
        <w:t xml:space="preserve"> como lo es el conductor del vehículo y no de una persona jurídica (moral) como lo es la poderdante del actor; entendiéndose por persona física al ser humano y, por persona jurídica, a  una entidad de derecho; de donde resulta imposible que esta última, sea capaz de conducir de manera controlada un vehículo de motor, al no ser corpórea, es decir que tenga un cuerpo como lo tiene una persona física para la ejecución de tareas motrices. . . . . . . . . . . . . . . . . . . . . . . . . . . . . . . . . . . . . . .</w:t>
      </w:r>
      <w:r>
        <w:rPr>
          <w:rFonts w:ascii="Calibri" w:hAnsi="Calibri" w:cs="Calibri"/>
          <w:color w:val="767171" w:themeColor="background2" w:themeShade="80"/>
          <w:sz w:val="26"/>
          <w:szCs w:val="26"/>
        </w:rPr>
        <w:t xml:space="preserve"> </w:t>
      </w:r>
    </w:p>
    <w:p w:rsidR="008E39A2" w:rsidRDefault="008E39A2" w:rsidP="008E39A2">
      <w:pPr>
        <w:ind w:firstLine="708"/>
        <w:jc w:val="both"/>
        <w:rPr>
          <w:rFonts w:ascii="Calibri" w:hAnsi="Calibri" w:cs="Calibri"/>
          <w:bCs/>
          <w:color w:val="767171" w:themeColor="background2" w:themeShade="80"/>
          <w:sz w:val="26"/>
          <w:szCs w:val="26"/>
        </w:rPr>
      </w:pPr>
    </w:p>
    <w:p w:rsidR="008E39A2" w:rsidRDefault="008E39A2" w:rsidP="008E39A2">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Así pues al resultar material y jurídicamente imposible que una persona jurídica conduzca un vehículo, al levantar el Inspector demandado, el acta de Infracción a la persona moral denominada </w:t>
      </w:r>
      <w:r>
        <w:rPr>
          <w:rFonts w:ascii="Calibri" w:hAnsi="Calibri" w:cs="Calibri"/>
          <w:b/>
          <w:i/>
          <w:color w:val="767171" w:themeColor="background2" w:themeShade="80"/>
          <w:sz w:val="26"/>
          <w:szCs w:val="26"/>
        </w:rPr>
        <w:t>*****</w:t>
      </w:r>
      <w:r>
        <w:rPr>
          <w:rFonts w:ascii="Calibri" w:hAnsi="Calibri" w:cs="Calibri"/>
          <w:bCs/>
          <w:iCs/>
          <w:color w:val="767171" w:themeColor="background2" w:themeShade="80"/>
          <w:sz w:val="26"/>
          <w:szCs w:val="26"/>
        </w:rPr>
        <w:t>;</w:t>
      </w:r>
      <w:r>
        <w:rPr>
          <w:rFonts w:ascii="Calibri" w:hAnsi="Calibri" w:cs="Calibri"/>
          <w:bCs/>
          <w:color w:val="767171" w:themeColor="background2" w:themeShade="80"/>
          <w:sz w:val="26"/>
          <w:szCs w:val="26"/>
        </w:rPr>
        <w:t xml:space="preserve"> contraviene el contenido del artículo señalado como infringido, en perjuicio de dicha sociedad, al no haber denotado como infractor al conductor del vehículo afecto a la prestación del servicio público de transporte; configurándose así la causal para declarar nula el acta de infracción número</w:t>
      </w:r>
      <w:r>
        <w:rPr>
          <w:rFonts w:ascii="Calibri" w:hAnsi="Calibri" w:cs="Calibri"/>
          <w:color w:val="767171" w:themeColor="background2" w:themeShade="80"/>
          <w:sz w:val="26"/>
          <w:szCs w:val="26"/>
        </w:rPr>
        <w:t xml:space="preserve"> 362503 (tres-seis-dos-cinco-cero-tres), de fecha 13 trece de enero del año 2017 dos mil diecisiete,  </w:t>
      </w:r>
      <w:r>
        <w:rPr>
          <w:rFonts w:ascii="Calibri" w:hAnsi="Calibri" w:cs="Calibri"/>
          <w:bCs/>
          <w:color w:val="767171" w:themeColor="background2" w:themeShade="80"/>
          <w:sz w:val="26"/>
          <w:szCs w:val="26"/>
        </w:rPr>
        <w:t xml:space="preserve">prevista  en  la fracción  IV del artículo 302 del Código de Procedimiento y Justicia Administrativa para el Estado y los Municipios de Guanajuato. . . . . . . . . . . . . . . . . . . . . . . . . . . . . . </w:t>
      </w:r>
    </w:p>
    <w:p w:rsidR="008E39A2" w:rsidRDefault="008E39A2" w:rsidP="008E39A2">
      <w:pPr>
        <w:jc w:val="both"/>
        <w:rPr>
          <w:rFonts w:ascii="Calibri" w:hAnsi="Calibri" w:cs="Calibri"/>
          <w:bCs/>
          <w:color w:val="767171" w:themeColor="background2" w:themeShade="80"/>
          <w:sz w:val="20"/>
          <w:szCs w:val="20"/>
        </w:rPr>
      </w:pPr>
    </w:p>
    <w:p w:rsidR="008E39A2" w:rsidRDefault="008E39A2" w:rsidP="008E39A2">
      <w:pPr>
        <w:ind w:firstLine="708"/>
        <w:jc w:val="both"/>
        <w:rPr>
          <w:rFonts w:ascii="Calibri" w:hAnsi="Calibri" w:cs="Calibri"/>
          <w:bCs/>
          <w:color w:val="767171" w:themeColor="background2" w:themeShade="80"/>
          <w:sz w:val="26"/>
          <w:szCs w:val="26"/>
        </w:rPr>
      </w:pPr>
      <w:r>
        <w:rPr>
          <w:rFonts w:ascii="Calibri" w:hAnsi="Calibri" w:cs="Calibri"/>
          <w:bCs/>
          <w:color w:val="767171" w:themeColor="background2" w:themeShade="80"/>
          <w:sz w:val="26"/>
          <w:szCs w:val="26"/>
        </w:rPr>
        <w:t xml:space="preserve">No sobra decir que, de todo lo antes expresado y razonado, también se concluye que el acta de infracción no se encuentra debidamente fundada y motivada; al no estar referida, en el artículo y fracción especificado como infringido, la obligación de cumplir con los horarios, rutas, itinerarios y frecuencias autorizadas en la prestación del servicio, a una persona jurídica, sino a una persona física (conductor del vehículo); lo que constituye un vicio de carácter formal, al no cumplirse con el elemento de validez contenido en la fracción VI, del artículo 137, </w:t>
      </w:r>
      <w:r>
        <w:rPr>
          <w:rFonts w:ascii="Calibri" w:hAnsi="Calibri" w:cs="Calibri"/>
          <w:bCs/>
          <w:color w:val="767171" w:themeColor="background2" w:themeShade="80"/>
          <w:sz w:val="26"/>
          <w:szCs w:val="26"/>
        </w:rPr>
        <w:lastRenderedPageBreak/>
        <w:t xml:space="preserve">del Código de Procedimiento y Justicia Administrativa antes mencionado. . . . . . . . </w:t>
      </w:r>
      <w:r>
        <w:rPr>
          <w:rFonts w:ascii="Calibri" w:hAnsi="Calibri" w:cs="Calibri"/>
          <w:color w:val="767171" w:themeColor="background2" w:themeShade="80"/>
          <w:sz w:val="26"/>
          <w:szCs w:val="26"/>
        </w:rPr>
        <w:t xml:space="preserve">. . . . . . . . . . . . . . . . . . . . . . . . . . . . . . . . . </w:t>
      </w:r>
    </w:p>
    <w:p w:rsidR="008E39A2" w:rsidRDefault="008E39A2" w:rsidP="008E39A2">
      <w:pPr>
        <w:jc w:val="both"/>
        <w:rPr>
          <w:rFonts w:ascii="Calibri" w:hAnsi="Calibri" w:cs="Calibri"/>
          <w:color w:val="767171" w:themeColor="background2" w:themeShade="80"/>
          <w:sz w:val="20"/>
          <w:szCs w:val="20"/>
        </w:rPr>
      </w:pPr>
    </w:p>
    <w:p w:rsidR="008E39A2" w:rsidRDefault="008E39A2" w:rsidP="008E39A2">
      <w:pPr>
        <w:ind w:firstLine="708"/>
        <w:jc w:val="both"/>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las cosas, al resultar fundado el concepto de impugnación analizado, en lo destacado por este Juzgador; se concluye que el acta de infracción impugnada se emitió en contravención del artículo 206, del Reglamento de Transporte Municipal de León, Guanajuato; y, en consecuencia, se encuentra indebidamente fundada y motivada, por lo que se actualizan las causas de nulidad previstas en el artículo 302, fracciones II y IV del Código de Procedimiento y Justicia Administrativa para el Estado y los Municipios de Guanajuato; y, en consecuencia, es procedente </w:t>
      </w:r>
      <w:r>
        <w:rPr>
          <w:rFonts w:ascii="Calibri" w:hAnsi="Calibri" w:cs="Calibri"/>
          <w:b/>
          <w:color w:val="767171" w:themeColor="background2" w:themeShade="80"/>
          <w:sz w:val="26"/>
          <w:szCs w:val="26"/>
        </w:rPr>
        <w:t>decretar</w:t>
      </w:r>
      <w:r>
        <w:rPr>
          <w:rFonts w:ascii="Calibri" w:hAnsi="Calibri" w:cs="Calibri"/>
          <w:color w:val="767171" w:themeColor="background2" w:themeShade="80"/>
          <w:sz w:val="26"/>
          <w:szCs w:val="26"/>
        </w:rPr>
        <w:t xml:space="preserve"> la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impugnada, con número </w:t>
      </w:r>
      <w:r>
        <w:rPr>
          <w:rFonts w:ascii="Calibri" w:hAnsi="Calibri" w:cs="Calibri"/>
          <w:b/>
          <w:color w:val="767171" w:themeColor="background2" w:themeShade="80"/>
          <w:sz w:val="26"/>
          <w:szCs w:val="26"/>
        </w:rPr>
        <w:t>362503 (tres-seis-dos-cinco-cero-tres)</w:t>
      </w:r>
      <w:r>
        <w:rPr>
          <w:rFonts w:ascii="Calibri" w:hAnsi="Calibri" w:cs="Calibri"/>
          <w:color w:val="767171" w:themeColor="background2" w:themeShade="80"/>
          <w:sz w:val="26"/>
          <w:szCs w:val="26"/>
        </w:rPr>
        <w:t xml:space="preserve">, de fecha </w:t>
      </w:r>
      <w:r>
        <w:rPr>
          <w:rFonts w:ascii="Calibri" w:hAnsi="Calibri" w:cs="Calibri"/>
          <w:b/>
          <w:color w:val="767171" w:themeColor="background2" w:themeShade="80"/>
          <w:sz w:val="26"/>
          <w:szCs w:val="26"/>
        </w:rPr>
        <w:t xml:space="preserve">13 </w:t>
      </w:r>
      <w:r>
        <w:rPr>
          <w:rFonts w:ascii="Calibri" w:hAnsi="Calibri" w:cs="Calibri"/>
          <w:color w:val="767171" w:themeColor="background2" w:themeShade="80"/>
          <w:sz w:val="26"/>
          <w:szCs w:val="26"/>
        </w:rPr>
        <w:t xml:space="preserve">trece de </w:t>
      </w:r>
      <w:r>
        <w:rPr>
          <w:rFonts w:ascii="Calibri" w:hAnsi="Calibri" w:cs="Calibri"/>
          <w:b/>
          <w:color w:val="767171" w:themeColor="background2" w:themeShade="80"/>
          <w:sz w:val="26"/>
          <w:szCs w:val="26"/>
        </w:rPr>
        <w:t>enero</w:t>
      </w:r>
      <w:r>
        <w:rPr>
          <w:rFonts w:ascii="Calibri" w:hAnsi="Calibri" w:cs="Calibri"/>
          <w:color w:val="767171" w:themeColor="background2" w:themeShade="80"/>
          <w:sz w:val="26"/>
          <w:szCs w:val="26"/>
        </w:rPr>
        <w:t xml:space="preserve"> del año </w:t>
      </w:r>
      <w:r>
        <w:rPr>
          <w:rFonts w:ascii="Calibri" w:hAnsi="Calibri" w:cs="Calibri"/>
          <w:b/>
          <w:color w:val="767171" w:themeColor="background2" w:themeShade="80"/>
          <w:sz w:val="26"/>
          <w:szCs w:val="26"/>
        </w:rPr>
        <w:t>2017</w:t>
      </w:r>
      <w:r>
        <w:rPr>
          <w:rFonts w:ascii="Calibri" w:hAnsi="Calibri" w:cs="Calibri"/>
          <w:color w:val="767171" w:themeColor="background2" w:themeShade="80"/>
          <w:sz w:val="26"/>
          <w:szCs w:val="26"/>
        </w:rPr>
        <w:t xml:space="preserve"> dos mil diecisiete. . . . . . . . . . . . . . . . . . . . . . </w:t>
      </w:r>
    </w:p>
    <w:p w:rsidR="008E39A2" w:rsidRDefault="008E39A2" w:rsidP="008E39A2">
      <w:pPr>
        <w:ind w:firstLine="708"/>
        <w:jc w:val="both"/>
        <w:rPr>
          <w:rFonts w:ascii="Calibri" w:hAnsi="Calibri" w:cs="Calibri"/>
          <w:color w:val="767171" w:themeColor="background2" w:themeShade="80"/>
          <w:sz w:val="26"/>
          <w:szCs w:val="26"/>
        </w:rPr>
      </w:pPr>
    </w:p>
    <w:p w:rsidR="008E39A2" w:rsidRDefault="008E39A2" w:rsidP="008E39A2">
      <w:pPr>
        <w:ind w:firstLine="708"/>
        <w:jc w:val="both"/>
        <w:rPr>
          <w:rFonts w:ascii="Calibri" w:hAnsi="Calibri" w:cs="Arial"/>
          <w:color w:val="767171" w:themeColor="background2" w:themeShade="80"/>
          <w:sz w:val="26"/>
          <w:szCs w:val="27"/>
        </w:rPr>
      </w:pPr>
      <w:r>
        <w:rPr>
          <w:rFonts w:ascii="Calibri" w:hAnsi="Calibri" w:cs="Calibri"/>
          <w:b/>
          <w:i/>
          <w:color w:val="767171" w:themeColor="background2" w:themeShade="80"/>
          <w:sz w:val="26"/>
          <w:szCs w:val="26"/>
        </w:rPr>
        <w:t>OCTAVO.-</w:t>
      </w:r>
      <w:r>
        <w:rPr>
          <w:rFonts w:ascii="Calibri" w:hAnsi="Calibri" w:cs="Calibri"/>
          <w:color w:val="767171" w:themeColor="background2" w:themeShade="80"/>
          <w:sz w:val="26"/>
          <w:szCs w:val="26"/>
        </w:rPr>
        <w:t xml:space="preserve"> </w:t>
      </w:r>
      <w:r>
        <w:rPr>
          <w:rFonts w:ascii="Calibri" w:hAnsi="Calibri" w:cs="Arial"/>
          <w:color w:val="767171" w:themeColor="background2" w:themeShade="80"/>
          <w:sz w:val="26"/>
          <w:szCs w:val="27"/>
        </w:rPr>
        <w:t xml:space="preserve">En virtud de que el primer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8E39A2" w:rsidRDefault="008E39A2" w:rsidP="008E39A2">
      <w:pPr>
        <w:pStyle w:val="Textoindependiente"/>
        <w:rPr>
          <w:rFonts w:ascii="Calibri" w:hAnsi="Calibri" w:cs="Arial"/>
          <w:color w:val="767171" w:themeColor="background2" w:themeShade="80"/>
          <w:sz w:val="20"/>
          <w:szCs w:val="27"/>
          <w:lang w:val="es-ES"/>
        </w:rPr>
      </w:pPr>
    </w:p>
    <w:p w:rsidR="008E39A2" w:rsidRDefault="008E39A2" w:rsidP="008E39A2">
      <w:pPr>
        <w:pStyle w:val="Textoindependiente"/>
        <w:ind w:firstLine="708"/>
        <w:rPr>
          <w:rFonts w:ascii="Calibri" w:hAnsi="Calibri" w:cs="Arial"/>
          <w:color w:val="767171" w:themeColor="background2" w:themeShade="80"/>
          <w:sz w:val="26"/>
          <w:szCs w:val="27"/>
        </w:rPr>
      </w:pPr>
      <w:r>
        <w:rPr>
          <w:rFonts w:ascii="Calibri" w:hAnsi="Calibri" w:cs="Arial"/>
          <w:color w:val="767171" w:themeColor="background2" w:themeShade="80"/>
          <w:sz w:val="26"/>
          <w:szCs w:val="27"/>
        </w:rPr>
        <w:t xml:space="preserve">Sirve de apoyo a lo anterior la tesis de jurisprudencia que a la letra señala: </w:t>
      </w:r>
    </w:p>
    <w:p w:rsidR="008E39A2" w:rsidRDefault="008E39A2" w:rsidP="008E39A2">
      <w:pPr>
        <w:pStyle w:val="Textoindependiente"/>
        <w:rPr>
          <w:rFonts w:ascii="Calibri" w:hAnsi="Calibri"/>
          <w:b/>
          <w:bCs/>
          <w:i/>
          <w:iCs/>
          <w:color w:val="767171" w:themeColor="background2" w:themeShade="80"/>
          <w:sz w:val="26"/>
          <w:szCs w:val="27"/>
        </w:rPr>
      </w:pPr>
    </w:p>
    <w:p w:rsidR="008E39A2" w:rsidRDefault="008E39A2" w:rsidP="008E39A2">
      <w:pPr>
        <w:pStyle w:val="Textoindependiente"/>
        <w:ind w:firstLine="708"/>
        <w:rPr>
          <w:rFonts w:ascii="Calibri" w:hAnsi="Calibri"/>
          <w:i/>
          <w:iCs/>
          <w:color w:val="767171" w:themeColor="background2" w:themeShade="80"/>
          <w:sz w:val="26"/>
          <w:szCs w:val="27"/>
        </w:rPr>
      </w:pPr>
      <w:r>
        <w:rPr>
          <w:rFonts w:ascii="Calibri" w:hAnsi="Calibri"/>
          <w:b/>
          <w:bCs/>
          <w:i/>
          <w:iCs/>
          <w:color w:val="767171" w:themeColor="background2" w:themeShade="80"/>
          <w:sz w:val="26"/>
          <w:szCs w:val="27"/>
        </w:rPr>
        <w:t xml:space="preserve">“CONCEPTOS DE VIOLACION. CUANDO SU ESTUDIO ES INNECESARIO. </w:t>
      </w:r>
      <w:r>
        <w:rPr>
          <w:rFonts w:ascii="Calibri" w:hAnsi="Calibri"/>
          <w:i/>
          <w:iCs/>
          <w:color w:val="767171" w:themeColor="background2" w:themeShade="80"/>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rFonts w:ascii="Calibri" w:hAnsi="Calibri"/>
          <w:color w:val="767171" w:themeColor="background2" w:themeShade="80"/>
          <w:sz w:val="22"/>
          <w:szCs w:val="27"/>
        </w:rPr>
        <w:t xml:space="preserve">Segundo Tribunal Colegiado Del Quinto Circuito. No. Registro: 223,103. Jurisprudencia. Materia(s): Común. Octava Época. Instancia: Tribunales Colegiados de Circuito. </w:t>
      </w:r>
      <w:r>
        <w:rPr>
          <w:rFonts w:ascii="Calibri" w:hAnsi="Calibri"/>
          <w:color w:val="767171" w:themeColor="background2" w:themeShade="80"/>
          <w:sz w:val="22"/>
          <w:szCs w:val="22"/>
        </w:rPr>
        <w:t xml:space="preserve">Fuente: Semanario Judicial de la Federación. I, Abril de 1991. Tesis: V.2o. J/7. Página: 86. Genealogía: Gaceta número 40, Abril de 1991, página </w:t>
      </w:r>
      <w:proofErr w:type="gramStart"/>
      <w:r>
        <w:rPr>
          <w:rFonts w:ascii="Calibri" w:hAnsi="Calibri"/>
          <w:color w:val="767171" w:themeColor="background2" w:themeShade="80"/>
          <w:sz w:val="22"/>
          <w:szCs w:val="22"/>
        </w:rPr>
        <w:t>125</w:t>
      </w:r>
      <w:r>
        <w:rPr>
          <w:rFonts w:ascii="Calibri" w:hAnsi="Calibri"/>
          <w:color w:val="767171" w:themeColor="background2" w:themeShade="80"/>
          <w:sz w:val="26"/>
          <w:szCs w:val="26"/>
        </w:rPr>
        <w:t xml:space="preserve"> .</w:t>
      </w:r>
      <w:proofErr w:type="gramEnd"/>
      <w:r>
        <w:rPr>
          <w:rFonts w:ascii="Calibri" w:hAnsi="Calibri"/>
          <w:color w:val="767171" w:themeColor="background2" w:themeShade="80"/>
          <w:sz w:val="26"/>
          <w:szCs w:val="26"/>
        </w:rPr>
        <w:t xml:space="preserve"> . . . . . . . . . . . . . . . . . . . . . . . . . . . . . . . . . . . </w:t>
      </w:r>
    </w:p>
    <w:p w:rsidR="008E39A2" w:rsidRDefault="008E39A2" w:rsidP="008E39A2">
      <w:pPr>
        <w:pStyle w:val="Textoindependiente"/>
        <w:ind w:firstLine="708"/>
        <w:rPr>
          <w:rFonts w:ascii="Calibri" w:hAnsi="Calibri"/>
          <w:b/>
          <w:i/>
          <w:color w:val="767171" w:themeColor="background2" w:themeShade="80"/>
          <w:sz w:val="26"/>
        </w:rPr>
      </w:pPr>
    </w:p>
    <w:p w:rsidR="008E39A2" w:rsidRDefault="008E39A2" w:rsidP="008E39A2">
      <w:pPr>
        <w:pStyle w:val="Textoindependiente"/>
        <w:ind w:firstLine="708"/>
        <w:rPr>
          <w:rFonts w:ascii="Calibri" w:hAnsi="Calibri" w:cs="Arial"/>
          <w:color w:val="767171" w:themeColor="background2" w:themeShade="80"/>
          <w:sz w:val="26"/>
          <w:szCs w:val="27"/>
        </w:rPr>
      </w:pPr>
      <w:r>
        <w:rPr>
          <w:rFonts w:ascii="Calibri" w:hAnsi="Calibri"/>
          <w:b/>
          <w:i/>
          <w:color w:val="7F7F7F" w:themeColor="text1" w:themeTint="80"/>
          <w:sz w:val="26"/>
        </w:rPr>
        <w:t>NOVENO.-</w:t>
      </w:r>
      <w:r>
        <w:rPr>
          <w:rFonts w:ascii="Calibri" w:hAnsi="Calibri" w:cs="Calibri"/>
          <w:i/>
          <w:iCs/>
          <w:color w:val="7F7F7F" w:themeColor="text1" w:themeTint="80"/>
          <w:sz w:val="26"/>
          <w:szCs w:val="26"/>
        </w:rPr>
        <w:t xml:space="preserve"> </w:t>
      </w:r>
      <w:r>
        <w:rPr>
          <w:rFonts w:ascii="Calibri" w:hAnsi="Calibri" w:cs="Arial"/>
          <w:color w:val="7F7F7F" w:themeColor="text1" w:themeTint="80"/>
          <w:sz w:val="26"/>
          <w:szCs w:val="27"/>
        </w:rPr>
        <w:t xml:space="preserve">De lo pretendido por la parte actora, se encuentra también lo concerniente a que se reconozcan y restituyan las garantías y derechos que le fueron agraviados a su representada, lo que, para quien resuelve, no es otra cosa que el que </w:t>
      </w:r>
      <w:r>
        <w:rPr>
          <w:rFonts w:ascii="Calibri" w:hAnsi="Calibri" w:cs="Arial"/>
          <w:color w:val="767171" w:themeColor="background2" w:themeShade="80"/>
          <w:sz w:val="26"/>
          <w:szCs w:val="27"/>
        </w:rPr>
        <w:t xml:space="preserve">se ordene la </w:t>
      </w:r>
      <w:r>
        <w:rPr>
          <w:rFonts w:ascii="Calibri" w:hAnsi="Calibri" w:cs="Arial"/>
          <w:b/>
          <w:color w:val="767171" w:themeColor="background2" w:themeShade="80"/>
          <w:sz w:val="26"/>
          <w:szCs w:val="27"/>
        </w:rPr>
        <w:t>devolución</w:t>
      </w:r>
      <w:r>
        <w:rPr>
          <w:rFonts w:ascii="Calibri" w:hAnsi="Calibri" w:cs="Arial"/>
          <w:color w:val="767171" w:themeColor="background2" w:themeShade="80"/>
          <w:sz w:val="26"/>
          <w:szCs w:val="27"/>
        </w:rPr>
        <w:t xml:space="preserve"> </w:t>
      </w:r>
      <w:r>
        <w:rPr>
          <w:rFonts w:ascii="Calibri" w:hAnsi="Calibri" w:cs="Arial"/>
          <w:color w:val="7F7F7F" w:themeColor="text1" w:themeTint="80"/>
          <w:sz w:val="26"/>
          <w:szCs w:val="27"/>
        </w:rPr>
        <w:t xml:space="preserve">de la cantidad de $949.52 (Novecientos cuarenta y nueve pesos 52/100 Moneda Nacional); que, como consecuencia de la infracción, pagó por concepto de multa; según lo acredita con el original del recibo oficial de pago </w:t>
      </w:r>
      <w:r>
        <w:rPr>
          <w:rFonts w:ascii="Calibri" w:hAnsi="Calibri" w:cs="Calibri"/>
          <w:color w:val="7F7F7F" w:themeColor="text1" w:themeTint="80"/>
          <w:sz w:val="26"/>
          <w:szCs w:val="26"/>
        </w:rPr>
        <w:t xml:space="preserve">AA 6635644 (seis-seis-tres-cinco-seis-cuatro-cuatro) </w:t>
      </w:r>
      <w:r>
        <w:rPr>
          <w:rFonts w:ascii="Calibri" w:hAnsi="Calibri" w:cs="Arial"/>
          <w:color w:val="7F7F7F" w:themeColor="text1" w:themeTint="80"/>
          <w:sz w:val="26"/>
          <w:szCs w:val="27"/>
        </w:rPr>
        <w:t xml:space="preserve">de fecha 7 siete de abril del año en curso. . . . . . . . . . . . . . . . . . . . . . . . . . . . . . . . . . . . . </w:t>
      </w:r>
    </w:p>
    <w:p w:rsidR="008E39A2" w:rsidRDefault="008E39A2" w:rsidP="008E39A2">
      <w:pPr>
        <w:pStyle w:val="Textoindependiente"/>
        <w:ind w:firstLine="708"/>
        <w:rPr>
          <w:rFonts w:ascii="Calibri" w:hAnsi="Calibri" w:cs="Arial"/>
          <w:color w:val="7F7F7F" w:themeColor="text1" w:themeTint="80"/>
          <w:sz w:val="26"/>
          <w:szCs w:val="27"/>
        </w:rPr>
      </w:pPr>
    </w:p>
    <w:p w:rsidR="008E39A2" w:rsidRDefault="008E39A2" w:rsidP="008E39A2">
      <w:pPr>
        <w:pStyle w:val="Textoindependiente"/>
        <w:ind w:firstLine="708"/>
        <w:rPr>
          <w:rFonts w:ascii="Calibri" w:hAnsi="Calibri" w:cs="Arial"/>
          <w:color w:val="7F7F7F" w:themeColor="text1" w:themeTint="80"/>
          <w:sz w:val="26"/>
          <w:szCs w:val="27"/>
        </w:rPr>
      </w:pPr>
      <w:r>
        <w:rPr>
          <w:rFonts w:ascii="Calibri" w:hAnsi="Calibri" w:cs="Arial"/>
          <w:color w:val="7F7F7F" w:themeColor="text1" w:themeTint="80"/>
          <w:sz w:val="26"/>
          <w:szCs w:val="27"/>
        </w:rPr>
        <w:t xml:space="preserve">Pretensión que resulta </w:t>
      </w:r>
      <w:r>
        <w:rPr>
          <w:rFonts w:ascii="Calibri" w:hAnsi="Calibri" w:cs="Arial"/>
          <w:b/>
          <w:color w:val="7F7F7F" w:themeColor="text1" w:themeTint="80"/>
          <w:sz w:val="26"/>
          <w:szCs w:val="27"/>
        </w:rPr>
        <w:t>procedente</w:t>
      </w:r>
      <w:r>
        <w:rPr>
          <w:rFonts w:ascii="Calibri" w:hAnsi="Calibri" w:cs="Arial"/>
          <w:color w:val="7F7F7F" w:themeColor="text1" w:themeTint="80"/>
          <w:sz w:val="26"/>
          <w:szCs w:val="27"/>
        </w:rPr>
        <w:t xml:space="preserve"> al haberse decretado la nulidad total del acta de Infracción impugnada; destacando que el inspector demandado, deberá </w:t>
      </w:r>
      <w:r>
        <w:rPr>
          <w:rFonts w:ascii="Calibri" w:hAnsi="Calibri" w:cs="Arial"/>
          <w:color w:val="7F7F7F" w:themeColor="text1" w:themeTint="80"/>
          <w:sz w:val="26"/>
          <w:szCs w:val="27"/>
        </w:rPr>
        <w:lastRenderedPageBreak/>
        <w:t xml:space="preserve">realizar todas y cada una de las gestiones necesarias ante la Tesorería Municipal para la efectiva devolución del importe señalado en el párrafo que antecede; ello conforme al Criterio que sostiene el Pleno del Tribunal de lo Contencioso Administrativo en el Estado, visible en la página 280 doscientos ochenta, de la publicación que contiene los </w:t>
      </w:r>
      <w:r>
        <w:rPr>
          <w:rFonts w:ascii="Calibri" w:hAnsi="Calibri" w:cs="Arial"/>
          <w:i/>
          <w:color w:val="7F7F7F" w:themeColor="text1" w:themeTint="80"/>
          <w:sz w:val="26"/>
          <w:szCs w:val="27"/>
        </w:rPr>
        <w:t>“Criterios 2000-2008”</w:t>
      </w:r>
      <w:r>
        <w:rPr>
          <w:rFonts w:ascii="Calibri" w:hAnsi="Calibri" w:cs="Arial"/>
          <w:color w:val="7F7F7F" w:themeColor="text1" w:themeTint="80"/>
          <w:sz w:val="26"/>
          <w:szCs w:val="27"/>
        </w:rPr>
        <w:t xml:space="preserve"> de dicho Tribunal, el cual es el siguiente: . . . . . . . . . . . . . . . . . . . . . . . . . . . . . . . . . . . . . . . . . . </w:t>
      </w:r>
    </w:p>
    <w:p w:rsidR="008E39A2" w:rsidRDefault="008E39A2" w:rsidP="008E39A2">
      <w:pPr>
        <w:pStyle w:val="Textoindependiente"/>
        <w:tabs>
          <w:tab w:val="left" w:pos="6662"/>
        </w:tabs>
        <w:ind w:firstLine="708"/>
        <w:rPr>
          <w:rFonts w:ascii="Calibri" w:hAnsi="Calibri" w:cs="Arial"/>
          <w:color w:val="7F7F7F" w:themeColor="text1" w:themeTint="80"/>
          <w:sz w:val="18"/>
          <w:szCs w:val="18"/>
        </w:rPr>
      </w:pPr>
      <w:r>
        <w:rPr>
          <w:rFonts w:ascii="Calibri" w:hAnsi="Calibri" w:cs="Arial"/>
          <w:color w:val="7F7F7F" w:themeColor="text1" w:themeTint="80"/>
          <w:sz w:val="18"/>
          <w:szCs w:val="18"/>
        </w:rPr>
        <w:tab/>
      </w:r>
    </w:p>
    <w:p w:rsidR="008E39A2" w:rsidRDefault="008E39A2" w:rsidP="008E39A2">
      <w:pPr>
        <w:pStyle w:val="Textoindependiente"/>
        <w:ind w:firstLine="708"/>
        <w:rPr>
          <w:rFonts w:ascii="Calibri" w:hAnsi="Calibri" w:cs="Arial"/>
          <w:i/>
          <w:color w:val="7F7F7F" w:themeColor="text1" w:themeTint="80"/>
          <w:sz w:val="26"/>
          <w:szCs w:val="26"/>
        </w:rPr>
      </w:pPr>
      <w:r>
        <w:rPr>
          <w:rFonts w:ascii="Calibri" w:hAnsi="Calibri" w:cs="Arial"/>
          <w:b/>
          <w:i/>
          <w:color w:val="7F7F7F" w:themeColor="text1" w:themeTint="80"/>
          <w:sz w:val="26"/>
          <w:szCs w:val="26"/>
        </w:rPr>
        <w:t>“</w:t>
      </w:r>
      <w:r>
        <w:rPr>
          <w:rFonts w:ascii="Calibri" w:hAnsi="Calibri" w:cs="Arial"/>
          <w:b/>
          <w:i/>
          <w:caps/>
          <w:color w:val="7F7F7F" w:themeColor="text1" w:themeTint="80"/>
          <w:sz w:val="26"/>
          <w:szCs w:val="26"/>
        </w:rPr>
        <w:t>devolución del pago de lo indebido</w:t>
      </w:r>
      <w:r>
        <w:rPr>
          <w:rFonts w:ascii="Calibri" w:hAnsi="Calibri" w:cs="Arial"/>
          <w:b/>
          <w:i/>
          <w:color w:val="7F7F7F" w:themeColor="text1" w:themeTint="80"/>
          <w:sz w:val="26"/>
          <w:szCs w:val="26"/>
        </w:rPr>
        <w:t xml:space="preserve">. CORRESPONDE A LA AUTORIDAD DE LA QUE EMANÓ EL ACTO ANULADO </w:t>
      </w:r>
      <w:r>
        <w:rPr>
          <w:rFonts w:ascii="Calibri" w:hAnsi="Calibri" w:cs="Arial"/>
          <w:b/>
          <w:i/>
          <w:caps/>
          <w:color w:val="7F7F7F" w:themeColor="text1" w:themeTint="80"/>
          <w:sz w:val="26"/>
          <w:szCs w:val="26"/>
        </w:rPr>
        <w:t>realizar las gestiones para</w:t>
      </w:r>
      <w:r>
        <w:rPr>
          <w:rFonts w:ascii="Calibri" w:hAnsi="Calibri" w:cs="Arial"/>
          <w:b/>
          <w:i/>
          <w:color w:val="7F7F7F" w:themeColor="text1" w:themeTint="80"/>
          <w:sz w:val="26"/>
          <w:szCs w:val="26"/>
        </w:rPr>
        <w:t>.-</w:t>
      </w:r>
      <w:r>
        <w:rPr>
          <w:rFonts w:ascii="Calibri" w:hAnsi="Calibri" w:cs="Arial"/>
          <w:i/>
          <w:color w:val="7F7F7F" w:themeColor="text1" w:themeTint="80"/>
          <w:sz w:val="26"/>
          <w:szCs w:val="26"/>
        </w:rPr>
        <w:t xml:space="preserve">Si  el actor  ocurrió  ante el  Tribunal de lo  Contencioso  Administrativo del </w:t>
      </w:r>
    </w:p>
    <w:p w:rsidR="008E39A2" w:rsidRDefault="008E39A2" w:rsidP="008E39A2">
      <w:pPr>
        <w:ind w:firstLine="708"/>
        <w:jc w:val="right"/>
        <w:rPr>
          <w:rFonts w:ascii="Calibri" w:hAnsi="Calibri" w:cs="Calibri"/>
          <w:b/>
          <w:color w:val="767171" w:themeColor="background2" w:themeShade="80"/>
          <w:sz w:val="26"/>
          <w:szCs w:val="26"/>
        </w:rPr>
      </w:pPr>
      <w:r>
        <w:rPr>
          <w:rFonts w:ascii="Calibri" w:hAnsi="Calibri" w:cs="Calibri"/>
          <w:b/>
          <w:color w:val="767171" w:themeColor="background2" w:themeShade="80"/>
          <w:sz w:val="26"/>
          <w:szCs w:val="26"/>
        </w:rPr>
        <w:t>Expediente número 0274/2doJAM/2017-JN</w:t>
      </w:r>
    </w:p>
    <w:p w:rsidR="008E39A2" w:rsidRDefault="008E39A2" w:rsidP="008E39A2">
      <w:pPr>
        <w:pStyle w:val="Textoindependiente"/>
        <w:ind w:firstLine="708"/>
        <w:rPr>
          <w:rFonts w:ascii="Calibri" w:hAnsi="Calibri" w:cs="Arial"/>
          <w:i/>
          <w:color w:val="7F7F7F" w:themeColor="text1" w:themeTint="80"/>
          <w:sz w:val="26"/>
          <w:szCs w:val="26"/>
        </w:rPr>
      </w:pPr>
    </w:p>
    <w:p w:rsidR="008E39A2" w:rsidRDefault="008E39A2" w:rsidP="008E39A2">
      <w:pPr>
        <w:pStyle w:val="Textoindependiente"/>
        <w:rPr>
          <w:rFonts w:ascii="Calibri" w:hAnsi="Calibri" w:cs="Arial"/>
          <w:b/>
          <w:i/>
          <w:color w:val="7F7F7F" w:themeColor="text1" w:themeTint="80"/>
          <w:sz w:val="22"/>
          <w:szCs w:val="22"/>
        </w:rPr>
      </w:pPr>
      <w:r>
        <w:rPr>
          <w:rFonts w:ascii="Calibri" w:hAnsi="Calibri" w:cs="Arial"/>
          <w:i/>
          <w:color w:val="7F7F7F" w:themeColor="text1" w:themeTint="80"/>
          <w:sz w:val="26"/>
          <w:szCs w:val="26"/>
        </w:rPr>
        <w:t xml:space="preserve">Estado a efecto de solicitar el reembolso del pago que realizó, por considerar que la infracción del que provino era ilegal, resulta correcto que el </w:t>
      </w:r>
      <w:r>
        <w:rPr>
          <w:rFonts w:ascii="Calibri" w:hAnsi="Calibri" w:cs="Arial"/>
          <w:i/>
          <w:iCs/>
          <w:color w:val="7F7F7F" w:themeColor="text1" w:themeTint="80"/>
          <w:sz w:val="26"/>
          <w:szCs w:val="26"/>
        </w:rPr>
        <w:t>A quo</w:t>
      </w:r>
      <w:r>
        <w:rPr>
          <w:rFonts w:ascii="Calibri" w:hAnsi="Calibri" w:cs="Arial"/>
          <w:i/>
          <w:color w:val="7F7F7F" w:themeColor="text1" w:themeTint="80"/>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Pr>
          <w:rFonts w:ascii="Calibri" w:hAnsi="Calibri" w:cs="Arial"/>
          <w:color w:val="7F7F7F" w:themeColor="text1" w:themeTint="80"/>
          <w:sz w:val="20"/>
          <w:szCs w:val="20"/>
        </w:rPr>
        <w:t>(Toca 136/07. Recurso de Revisión interpuesto por Daniel García Razo, en su carácter de autorizado del Director General de Tránsito y Transporte del Estado. Resolución de fecha 9 de enero de 2008).</w:t>
      </w:r>
      <w:r>
        <w:rPr>
          <w:rFonts w:ascii="Calibri" w:hAnsi="Calibri" w:cs="Arial"/>
          <w:b/>
          <w:i/>
          <w:color w:val="7F7F7F" w:themeColor="text1" w:themeTint="80"/>
          <w:sz w:val="22"/>
          <w:szCs w:val="22"/>
        </w:rPr>
        <w:t xml:space="preserve"> . . . . . . . . . . . . . . . . . . . . . . . . . . . . . . . . . . . . . . . . . . . . . . . . . . . . . . . . . . . . . . . . . . . </w:t>
      </w:r>
    </w:p>
    <w:p w:rsidR="008E39A2" w:rsidRDefault="008E39A2" w:rsidP="008E39A2">
      <w:pPr>
        <w:pStyle w:val="Textoindependiente"/>
        <w:rPr>
          <w:rFonts w:ascii="Calibri" w:hAnsi="Calibri"/>
          <w:color w:val="7F7F7F" w:themeColor="text1" w:themeTint="80"/>
          <w:sz w:val="26"/>
          <w:szCs w:val="26"/>
        </w:rPr>
      </w:pPr>
    </w:p>
    <w:p w:rsidR="008E39A2" w:rsidRDefault="008E39A2" w:rsidP="008E39A2">
      <w:pPr>
        <w:pStyle w:val="Textoindependiente"/>
        <w:ind w:firstLine="708"/>
        <w:rPr>
          <w:rFonts w:ascii="Calibri" w:hAnsi="Calibri" w:cs="Calibri"/>
          <w:color w:val="7F7F7F" w:themeColor="text1" w:themeTint="80"/>
          <w:sz w:val="26"/>
          <w:szCs w:val="26"/>
        </w:rPr>
      </w:pPr>
      <w:r>
        <w:rPr>
          <w:rFonts w:ascii="Calibri" w:hAnsi="Calibri" w:cs="Calibri"/>
          <w:color w:val="7F7F7F" w:themeColor="text1" w:themeTint="80"/>
          <w:sz w:val="26"/>
          <w:szCs w:val="26"/>
        </w:rPr>
        <w:t>Por lo expuesto, y con fundamento además en lo dispuesto en los artículos 249; 287; 298; 299; 300, fracciones II, V y VI; y, 302, fracciones II y IV del Código de Procedimiento y Justicia Administrativa para el Estado y los Municipios de Guanajuato, es de resolverse y se: . . . . . . . . . . . . . . . . . . . . . . . . . . . . . . . . . . . . . . . .</w:t>
      </w:r>
    </w:p>
    <w:p w:rsidR="008E39A2" w:rsidRDefault="008E39A2" w:rsidP="008E39A2">
      <w:pPr>
        <w:pStyle w:val="Textoindependiente"/>
        <w:ind w:firstLine="708"/>
        <w:rPr>
          <w:rFonts w:ascii="Calibri" w:hAnsi="Calibri" w:cs="Calibri"/>
          <w:color w:val="767171" w:themeColor="background2" w:themeShade="80"/>
          <w:sz w:val="20"/>
          <w:szCs w:val="20"/>
        </w:rPr>
      </w:pPr>
    </w:p>
    <w:p w:rsidR="008E39A2" w:rsidRDefault="008E39A2" w:rsidP="008E39A2">
      <w:pPr>
        <w:pStyle w:val="Textoindependiente"/>
        <w:jc w:val="center"/>
        <w:rPr>
          <w:rFonts w:ascii="Calibri" w:hAnsi="Calibri" w:cs="Calibri"/>
          <w:i/>
          <w:iCs/>
          <w:color w:val="767171" w:themeColor="background2" w:themeShade="80"/>
          <w:sz w:val="26"/>
          <w:szCs w:val="26"/>
        </w:rPr>
      </w:pPr>
      <w:r>
        <w:rPr>
          <w:rFonts w:ascii="Calibri" w:hAnsi="Calibri" w:cs="Calibri"/>
          <w:b/>
          <w:i/>
          <w:iCs/>
          <w:color w:val="767171" w:themeColor="background2" w:themeShade="80"/>
          <w:sz w:val="26"/>
          <w:szCs w:val="26"/>
        </w:rPr>
        <w:t xml:space="preserve">R E S U E L V </w:t>
      </w:r>
      <w:proofErr w:type="gramStart"/>
      <w:r>
        <w:rPr>
          <w:rFonts w:ascii="Calibri" w:hAnsi="Calibri" w:cs="Calibri"/>
          <w:b/>
          <w:i/>
          <w:iCs/>
          <w:color w:val="767171" w:themeColor="background2" w:themeShade="80"/>
          <w:sz w:val="26"/>
          <w:szCs w:val="26"/>
        </w:rPr>
        <w:t xml:space="preserve">E </w:t>
      </w:r>
      <w:r>
        <w:rPr>
          <w:rFonts w:ascii="Calibri" w:hAnsi="Calibri" w:cs="Calibri"/>
          <w:i/>
          <w:iCs/>
          <w:color w:val="767171" w:themeColor="background2" w:themeShade="80"/>
          <w:sz w:val="26"/>
          <w:szCs w:val="26"/>
        </w:rPr>
        <w:t>:</w:t>
      </w:r>
      <w:proofErr w:type="gramEnd"/>
    </w:p>
    <w:p w:rsidR="008E39A2" w:rsidRDefault="008E39A2" w:rsidP="008E39A2">
      <w:pPr>
        <w:pStyle w:val="Textoindependiente"/>
        <w:rPr>
          <w:rFonts w:ascii="Calibri" w:hAnsi="Calibri" w:cs="Calibri"/>
          <w:color w:val="767171" w:themeColor="background2" w:themeShade="80"/>
          <w:sz w:val="20"/>
          <w:szCs w:val="20"/>
        </w:rPr>
      </w:pPr>
    </w:p>
    <w:p w:rsidR="008E39A2" w:rsidRDefault="008E39A2" w:rsidP="008E39A2">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PRIMERO</w:t>
      </w:r>
      <w:r>
        <w:rPr>
          <w:rFonts w:ascii="Calibri" w:hAnsi="Calibri" w:cs="Calibri"/>
          <w:color w:val="767171" w:themeColor="background2" w:themeShade="80"/>
          <w:sz w:val="26"/>
          <w:szCs w:val="26"/>
        </w:rPr>
        <w:t xml:space="preserve">.- Este Juzgado Segundo Administrativo municipal determina ser </w:t>
      </w:r>
      <w:r>
        <w:rPr>
          <w:rFonts w:ascii="Calibri" w:hAnsi="Calibri" w:cs="Calibri"/>
          <w:b/>
          <w:color w:val="767171" w:themeColor="background2" w:themeShade="80"/>
          <w:sz w:val="26"/>
          <w:szCs w:val="26"/>
        </w:rPr>
        <w:t>competente</w:t>
      </w:r>
      <w:r>
        <w:rPr>
          <w:rFonts w:ascii="Calibri" w:hAnsi="Calibri" w:cs="Calibri"/>
          <w:color w:val="767171" w:themeColor="background2" w:themeShade="80"/>
          <w:sz w:val="26"/>
          <w:szCs w:val="26"/>
        </w:rPr>
        <w:t xml:space="preserve"> para conocer y resolver del presente proceso administrativo. . . . . . . </w:t>
      </w:r>
    </w:p>
    <w:p w:rsidR="008E39A2" w:rsidRDefault="008E39A2" w:rsidP="008E39A2">
      <w:pPr>
        <w:pStyle w:val="Textoindependiente"/>
        <w:ind w:firstLine="708"/>
        <w:rPr>
          <w:rFonts w:ascii="Calibri" w:hAnsi="Calibri" w:cs="Calibri"/>
          <w:color w:val="767171" w:themeColor="background2" w:themeShade="80"/>
          <w:sz w:val="20"/>
          <w:szCs w:val="20"/>
        </w:rPr>
      </w:pPr>
    </w:p>
    <w:p w:rsidR="008E39A2" w:rsidRDefault="008E39A2" w:rsidP="008E39A2">
      <w:pPr>
        <w:pStyle w:val="Textoindependiente"/>
        <w:ind w:firstLine="708"/>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t xml:space="preserve">SEGUNDO.- </w:t>
      </w:r>
      <w:r>
        <w:rPr>
          <w:rFonts w:ascii="Calibri" w:hAnsi="Calibri" w:cs="Calibri"/>
          <w:color w:val="767171" w:themeColor="background2" w:themeShade="80"/>
          <w:sz w:val="26"/>
          <w:szCs w:val="26"/>
        </w:rPr>
        <w:t xml:space="preserve">Resulta </w:t>
      </w:r>
      <w:r>
        <w:rPr>
          <w:rFonts w:ascii="Calibri" w:hAnsi="Calibri" w:cs="Calibri"/>
          <w:b/>
          <w:color w:val="767171" w:themeColor="background2" w:themeShade="80"/>
          <w:sz w:val="26"/>
          <w:szCs w:val="26"/>
        </w:rPr>
        <w:t>procedente</w:t>
      </w:r>
      <w:r>
        <w:rPr>
          <w:rFonts w:ascii="Calibri" w:hAnsi="Calibri" w:cs="Calibri"/>
          <w:color w:val="767171" w:themeColor="background2" w:themeShade="80"/>
          <w:sz w:val="26"/>
          <w:szCs w:val="26"/>
        </w:rPr>
        <w:t xml:space="preserve"> el proceso administrativo promovido por el ciudadano *****, en representación de </w:t>
      </w:r>
      <w:r>
        <w:rPr>
          <w:rFonts w:ascii="Calibri" w:hAnsi="Calibri" w:cs="Calibri"/>
          <w:i/>
          <w:color w:val="767171" w:themeColor="background2" w:themeShade="80"/>
          <w:sz w:val="26"/>
          <w:szCs w:val="26"/>
        </w:rPr>
        <w:t>*****,</w:t>
      </w:r>
      <w:r>
        <w:rPr>
          <w:rFonts w:ascii="Calibri" w:hAnsi="Calibri" w:cs="Calibri"/>
          <w:color w:val="767171" w:themeColor="background2" w:themeShade="80"/>
          <w:sz w:val="26"/>
          <w:szCs w:val="26"/>
        </w:rPr>
        <w:t xml:space="preserve"> en contra del acta de infracción impugnada. . . . . . . . . . . . . . . . . . . . . . . . . . . . . . . . </w:t>
      </w:r>
    </w:p>
    <w:p w:rsidR="008E39A2" w:rsidRDefault="008E39A2" w:rsidP="008E39A2">
      <w:pPr>
        <w:pStyle w:val="Textoindependiente"/>
        <w:ind w:firstLine="708"/>
        <w:rPr>
          <w:rFonts w:ascii="Calibri" w:hAnsi="Calibri" w:cs="Calibri"/>
          <w:bCs/>
          <w:iCs/>
          <w:color w:val="767171" w:themeColor="background2" w:themeShade="80"/>
          <w:sz w:val="20"/>
          <w:szCs w:val="20"/>
        </w:rPr>
      </w:pPr>
    </w:p>
    <w:p w:rsidR="008E39A2" w:rsidRDefault="008E39A2" w:rsidP="008E39A2">
      <w:pPr>
        <w:ind w:firstLine="708"/>
        <w:jc w:val="both"/>
        <w:rPr>
          <w:rFonts w:ascii="Calibri" w:hAnsi="Calibri" w:cs="Calibri"/>
          <w:color w:val="767171" w:themeColor="background2" w:themeShade="80"/>
          <w:sz w:val="26"/>
          <w:szCs w:val="26"/>
        </w:rPr>
      </w:pPr>
      <w:r>
        <w:rPr>
          <w:rFonts w:ascii="Calibri" w:hAnsi="Calibri" w:cs="Calibri"/>
          <w:b/>
          <w:bCs/>
          <w:i/>
          <w:iCs/>
          <w:color w:val="767171" w:themeColor="background2" w:themeShade="80"/>
          <w:sz w:val="26"/>
          <w:szCs w:val="26"/>
        </w:rPr>
        <w:lastRenderedPageBreak/>
        <w:t xml:space="preserve">TERCERO.- </w:t>
      </w:r>
      <w:r>
        <w:rPr>
          <w:rFonts w:ascii="Calibri" w:hAnsi="Calibri"/>
          <w:color w:val="767171" w:themeColor="background2" w:themeShade="80"/>
          <w:sz w:val="26"/>
        </w:rPr>
        <w:t xml:space="preserve">Se </w:t>
      </w:r>
      <w:r>
        <w:rPr>
          <w:rFonts w:ascii="Calibri" w:hAnsi="Calibri"/>
          <w:b/>
          <w:color w:val="767171" w:themeColor="background2" w:themeShade="80"/>
          <w:sz w:val="26"/>
        </w:rPr>
        <w:t>decreta</w:t>
      </w:r>
      <w:r>
        <w:rPr>
          <w:rFonts w:ascii="Calibri" w:hAnsi="Calibri"/>
          <w:color w:val="767171" w:themeColor="background2" w:themeShade="80"/>
          <w:sz w:val="26"/>
        </w:rPr>
        <w:t xml:space="preserve"> </w:t>
      </w:r>
      <w:r>
        <w:rPr>
          <w:rFonts w:ascii="Calibri" w:hAnsi="Calibri"/>
          <w:bCs/>
          <w:color w:val="767171" w:themeColor="background2" w:themeShade="80"/>
          <w:sz w:val="26"/>
        </w:rPr>
        <w:t>la</w:t>
      </w:r>
      <w:r>
        <w:rPr>
          <w:rFonts w:ascii="Calibri" w:hAnsi="Calibri"/>
          <w:b/>
          <w:bCs/>
          <w:color w:val="767171" w:themeColor="background2" w:themeShade="80"/>
          <w:sz w:val="26"/>
        </w:rPr>
        <w:t xml:space="preserve"> </w:t>
      </w:r>
      <w:r>
        <w:rPr>
          <w:rFonts w:ascii="Calibri" w:hAnsi="Calibri" w:cs="Calibri"/>
          <w:b/>
          <w:bCs/>
          <w:color w:val="767171" w:themeColor="background2" w:themeShade="80"/>
          <w:sz w:val="26"/>
          <w:szCs w:val="26"/>
        </w:rPr>
        <w:t xml:space="preserve">nulidad total </w:t>
      </w:r>
      <w:r>
        <w:rPr>
          <w:rFonts w:ascii="Calibri" w:hAnsi="Calibri" w:cs="Calibri"/>
          <w:bCs/>
          <w:color w:val="767171" w:themeColor="background2" w:themeShade="80"/>
          <w:sz w:val="26"/>
          <w:szCs w:val="26"/>
        </w:rPr>
        <w:t xml:space="preserve">del </w:t>
      </w:r>
      <w:r>
        <w:rPr>
          <w:rFonts w:ascii="Calibri" w:hAnsi="Calibri" w:cs="Calibri"/>
          <w:b/>
          <w:color w:val="767171" w:themeColor="background2" w:themeShade="80"/>
          <w:sz w:val="26"/>
          <w:szCs w:val="26"/>
        </w:rPr>
        <w:t>acta de infracción</w:t>
      </w:r>
      <w:r>
        <w:rPr>
          <w:rFonts w:ascii="Calibri" w:hAnsi="Calibri" w:cs="Calibri"/>
          <w:color w:val="767171" w:themeColor="background2" w:themeShade="80"/>
          <w:sz w:val="26"/>
          <w:szCs w:val="26"/>
        </w:rPr>
        <w:t xml:space="preserve"> con número </w:t>
      </w:r>
      <w:r>
        <w:rPr>
          <w:rFonts w:ascii="Calibri" w:hAnsi="Calibri" w:cs="Calibri"/>
          <w:b/>
          <w:color w:val="767171" w:themeColor="background2" w:themeShade="80"/>
          <w:sz w:val="26"/>
          <w:szCs w:val="26"/>
        </w:rPr>
        <w:t xml:space="preserve">362503 (tres-seis-dos-cinco-cero-tres), </w:t>
      </w:r>
      <w:r>
        <w:rPr>
          <w:rFonts w:ascii="Calibri" w:hAnsi="Calibri" w:cs="Calibri"/>
          <w:color w:val="767171" w:themeColor="background2" w:themeShade="80"/>
          <w:sz w:val="26"/>
          <w:szCs w:val="26"/>
        </w:rPr>
        <w:t>de fecha</w:t>
      </w:r>
      <w:r>
        <w:rPr>
          <w:rFonts w:ascii="Calibri" w:hAnsi="Calibri" w:cs="Calibri"/>
          <w:b/>
          <w:color w:val="767171" w:themeColor="background2" w:themeShade="80"/>
          <w:sz w:val="26"/>
          <w:szCs w:val="26"/>
        </w:rPr>
        <w:t xml:space="preserve"> 13 </w:t>
      </w:r>
      <w:r>
        <w:rPr>
          <w:rFonts w:ascii="Calibri" w:hAnsi="Calibri" w:cs="Calibri"/>
          <w:color w:val="767171" w:themeColor="background2" w:themeShade="80"/>
          <w:sz w:val="26"/>
          <w:szCs w:val="26"/>
        </w:rPr>
        <w:t>trece de</w:t>
      </w:r>
      <w:r>
        <w:rPr>
          <w:rFonts w:ascii="Calibri" w:hAnsi="Calibri" w:cs="Calibri"/>
          <w:b/>
          <w:color w:val="767171" w:themeColor="background2" w:themeShade="80"/>
          <w:sz w:val="26"/>
          <w:szCs w:val="26"/>
        </w:rPr>
        <w:t xml:space="preserve"> enero </w:t>
      </w:r>
      <w:r>
        <w:rPr>
          <w:rFonts w:ascii="Calibri" w:hAnsi="Calibri" w:cs="Calibri"/>
          <w:color w:val="767171" w:themeColor="background2" w:themeShade="80"/>
          <w:sz w:val="26"/>
          <w:szCs w:val="26"/>
        </w:rPr>
        <w:t>del año</w:t>
      </w:r>
      <w:r>
        <w:rPr>
          <w:rFonts w:ascii="Calibri" w:hAnsi="Calibri" w:cs="Calibri"/>
          <w:b/>
          <w:color w:val="767171" w:themeColor="background2" w:themeShade="80"/>
          <w:sz w:val="26"/>
          <w:szCs w:val="26"/>
        </w:rPr>
        <w:t xml:space="preserve"> 2017 </w:t>
      </w:r>
      <w:r>
        <w:rPr>
          <w:rFonts w:ascii="Calibri" w:hAnsi="Calibri" w:cs="Calibri"/>
          <w:color w:val="767171" w:themeColor="background2" w:themeShade="80"/>
          <w:sz w:val="26"/>
          <w:szCs w:val="26"/>
        </w:rPr>
        <w:t xml:space="preserve">dos mil diecisiete; ello en base a las consideraciones lógicas y jurídicas expresadas en el Considerando Séptimo de esta sentencia. . . . . . . . . . . . . . . . . . . . </w:t>
      </w:r>
    </w:p>
    <w:p w:rsidR="008E39A2" w:rsidRDefault="008E39A2" w:rsidP="008E39A2">
      <w:pPr>
        <w:ind w:firstLine="708"/>
        <w:jc w:val="both"/>
        <w:rPr>
          <w:rFonts w:ascii="Calibri" w:hAnsi="Calibri" w:cs="Calibri"/>
          <w:b/>
          <w:bCs/>
          <w:i/>
          <w:iCs/>
          <w:color w:val="767171" w:themeColor="background2" w:themeShade="80"/>
          <w:sz w:val="20"/>
          <w:szCs w:val="20"/>
        </w:rPr>
      </w:pPr>
    </w:p>
    <w:p w:rsidR="008E39A2" w:rsidRDefault="008E39A2" w:rsidP="008E39A2">
      <w:pPr>
        <w:ind w:firstLine="708"/>
        <w:jc w:val="both"/>
        <w:rPr>
          <w:rFonts w:ascii="Calibri" w:hAnsi="Calibri"/>
          <w:color w:val="7F7F7F" w:themeColor="text1" w:themeTint="80"/>
          <w:sz w:val="26"/>
        </w:rPr>
      </w:pPr>
      <w:r>
        <w:rPr>
          <w:rFonts w:ascii="Calibri" w:hAnsi="Calibri" w:cs="Calibri"/>
          <w:b/>
          <w:bCs/>
          <w:i/>
          <w:iCs/>
          <w:color w:val="7F7F7F" w:themeColor="text1" w:themeTint="80"/>
          <w:sz w:val="26"/>
          <w:szCs w:val="26"/>
        </w:rPr>
        <w:t xml:space="preserve">CUARTO.- </w:t>
      </w:r>
      <w:r>
        <w:rPr>
          <w:rFonts w:ascii="Calibri" w:hAnsi="Calibri"/>
          <w:color w:val="7F7F7F" w:themeColor="text1" w:themeTint="80"/>
          <w:sz w:val="26"/>
        </w:rPr>
        <w:t xml:space="preserve">Se </w:t>
      </w:r>
      <w:r>
        <w:rPr>
          <w:rFonts w:ascii="Calibri" w:hAnsi="Calibri"/>
          <w:b/>
          <w:color w:val="7F7F7F" w:themeColor="text1" w:themeTint="80"/>
          <w:sz w:val="26"/>
        </w:rPr>
        <w:t>condena</w:t>
      </w:r>
      <w:r>
        <w:rPr>
          <w:rFonts w:ascii="Calibri" w:hAnsi="Calibri"/>
          <w:color w:val="7F7F7F" w:themeColor="text1" w:themeTint="80"/>
          <w:sz w:val="26"/>
        </w:rPr>
        <w:t xml:space="preserve"> al Inspector adscrito a la Dirección General de Movilidad, de nombre </w:t>
      </w:r>
      <w:r>
        <w:rPr>
          <w:rFonts w:ascii="Calibri" w:hAnsi="Calibri" w:cs="Calibri"/>
          <w:b/>
          <w:color w:val="767171" w:themeColor="background2" w:themeShade="80"/>
          <w:sz w:val="26"/>
          <w:szCs w:val="26"/>
        </w:rPr>
        <w:t>*****</w:t>
      </w:r>
      <w:r>
        <w:rPr>
          <w:rFonts w:ascii="Calibri" w:hAnsi="Calibri"/>
          <w:color w:val="7F7F7F" w:themeColor="text1" w:themeTint="80"/>
          <w:sz w:val="26"/>
        </w:rPr>
        <w:t xml:space="preserve">, a que </w:t>
      </w:r>
      <w:r>
        <w:rPr>
          <w:rFonts w:ascii="Calibri" w:hAnsi="Calibri"/>
          <w:b/>
          <w:color w:val="7F7F7F" w:themeColor="text1" w:themeTint="80"/>
          <w:sz w:val="26"/>
        </w:rPr>
        <w:t>devuelva</w:t>
      </w:r>
      <w:r>
        <w:rPr>
          <w:rFonts w:ascii="Calibri" w:hAnsi="Calibri"/>
          <w:color w:val="7F7F7F" w:themeColor="text1" w:themeTint="80"/>
          <w:sz w:val="26"/>
        </w:rPr>
        <w:t xml:space="preserve"> a la persona moral denominada </w:t>
      </w:r>
      <w:r>
        <w:rPr>
          <w:rFonts w:ascii="Calibri" w:hAnsi="Calibri" w:cs="Calibri"/>
          <w:b/>
          <w:i/>
          <w:color w:val="767171" w:themeColor="background2" w:themeShade="80"/>
          <w:sz w:val="26"/>
          <w:szCs w:val="26"/>
        </w:rPr>
        <w:t>*****</w:t>
      </w:r>
      <w:r>
        <w:rPr>
          <w:rFonts w:ascii="Calibri" w:hAnsi="Calibri" w:cs="Calibri"/>
          <w:b/>
          <w:i/>
          <w:color w:val="7F7F7F" w:themeColor="text1" w:themeTint="80"/>
          <w:sz w:val="26"/>
          <w:szCs w:val="26"/>
        </w:rPr>
        <w:t>,</w:t>
      </w:r>
      <w:r>
        <w:rPr>
          <w:rFonts w:ascii="Calibri" w:hAnsi="Calibri" w:cs="Calibri"/>
          <w:i/>
          <w:color w:val="7F7F7F" w:themeColor="text1" w:themeTint="80"/>
          <w:sz w:val="26"/>
          <w:szCs w:val="26"/>
        </w:rPr>
        <w:t xml:space="preserve"> </w:t>
      </w:r>
      <w:r>
        <w:rPr>
          <w:rFonts w:ascii="Calibri" w:hAnsi="Calibri"/>
          <w:color w:val="7F7F7F" w:themeColor="text1" w:themeTint="80"/>
          <w:sz w:val="26"/>
        </w:rPr>
        <w:t xml:space="preserve">la cantidad de </w:t>
      </w:r>
      <w:r>
        <w:rPr>
          <w:rFonts w:ascii="Calibri" w:hAnsi="Calibri"/>
          <w:b/>
          <w:color w:val="7F7F7F" w:themeColor="text1" w:themeTint="80"/>
          <w:sz w:val="26"/>
        </w:rPr>
        <w:t>$949.52 (Novecientos cuarenta y nueve pesos 52/100 Moneda Nacional)</w:t>
      </w:r>
      <w:r>
        <w:rPr>
          <w:rFonts w:ascii="Calibri" w:hAnsi="Calibri"/>
          <w:color w:val="7F7F7F" w:themeColor="text1" w:themeTint="80"/>
          <w:sz w:val="26"/>
        </w:rPr>
        <w:t xml:space="preserve">; que, como consecuencia de la infracción, pagó por concepto de multa; ello de conformidad a lo argumentado en el considerando Noveno de esta misma resolución. . . . . . . . </w:t>
      </w:r>
    </w:p>
    <w:p w:rsidR="008E39A2" w:rsidRDefault="008E39A2" w:rsidP="008E39A2">
      <w:pPr>
        <w:jc w:val="both"/>
        <w:rPr>
          <w:rFonts w:ascii="Calibri" w:hAnsi="Calibri" w:cs="Calibri"/>
          <w:color w:val="7F7F7F" w:themeColor="text1" w:themeTint="80"/>
          <w:sz w:val="20"/>
          <w:szCs w:val="20"/>
        </w:rPr>
      </w:pPr>
    </w:p>
    <w:p w:rsidR="008E39A2" w:rsidRDefault="008E39A2" w:rsidP="008E39A2">
      <w:pPr>
        <w:ind w:firstLine="708"/>
        <w:jc w:val="both"/>
        <w:rPr>
          <w:rFonts w:ascii="Calibri" w:hAnsi="Calibri" w:cs="Calibri"/>
          <w:color w:val="7F7F7F" w:themeColor="text1" w:themeTint="80"/>
          <w:sz w:val="26"/>
          <w:szCs w:val="26"/>
        </w:rPr>
      </w:pPr>
      <w:r>
        <w:rPr>
          <w:rFonts w:ascii="Calibri" w:hAnsi="Calibri" w:cs="Calibri"/>
          <w:b/>
          <w:color w:val="7F7F7F" w:themeColor="text1" w:themeTint="80"/>
          <w:sz w:val="26"/>
          <w:szCs w:val="26"/>
        </w:rPr>
        <w:t>Devolución</w:t>
      </w:r>
      <w:r>
        <w:rPr>
          <w:rFonts w:ascii="Calibri" w:hAnsi="Calibri" w:cs="Calibri"/>
          <w:color w:val="7F7F7F" w:themeColor="text1" w:themeTint="80"/>
          <w:sz w:val="26"/>
          <w:szCs w:val="26"/>
        </w:rPr>
        <w:t xml:space="preserve"> que se deberá realizar dentro de los </w:t>
      </w:r>
      <w:r>
        <w:rPr>
          <w:rFonts w:ascii="Calibri" w:hAnsi="Calibri" w:cs="Calibri"/>
          <w:b/>
          <w:color w:val="7F7F7F" w:themeColor="text1" w:themeTint="80"/>
          <w:sz w:val="26"/>
          <w:szCs w:val="26"/>
        </w:rPr>
        <w:t>15 quince días hábiles</w:t>
      </w:r>
      <w:r>
        <w:rPr>
          <w:rFonts w:ascii="Calibri" w:hAnsi="Calibri" w:cs="Calibri"/>
          <w:color w:val="7F7F7F" w:themeColor="text1" w:themeTint="80"/>
          <w:sz w:val="26"/>
          <w:szCs w:val="26"/>
        </w:rPr>
        <w:t xml:space="preserve"> siguientes a la fecha en que </w:t>
      </w:r>
      <w:r>
        <w:rPr>
          <w:rFonts w:ascii="Calibri" w:hAnsi="Calibri" w:cs="Calibri"/>
          <w:b/>
          <w:color w:val="7F7F7F" w:themeColor="text1" w:themeTint="80"/>
          <w:sz w:val="26"/>
          <w:szCs w:val="26"/>
        </w:rPr>
        <w:t>cause ejecutoria</w:t>
      </w:r>
      <w:r>
        <w:rPr>
          <w:rFonts w:ascii="Calibri" w:hAnsi="Calibri" w:cs="Calibri"/>
          <w:color w:val="7F7F7F" w:themeColor="text1" w:themeTint="80"/>
          <w:sz w:val="26"/>
          <w:szCs w:val="26"/>
        </w:rPr>
        <w:t xml:space="preserve"> la presente resolución; debiendo </w:t>
      </w:r>
      <w:r>
        <w:rPr>
          <w:rFonts w:ascii="Calibri" w:hAnsi="Calibri" w:cs="Calibri"/>
          <w:b/>
          <w:color w:val="7F7F7F" w:themeColor="text1" w:themeTint="80"/>
          <w:sz w:val="26"/>
          <w:szCs w:val="26"/>
        </w:rPr>
        <w:t>informar</w:t>
      </w:r>
      <w:r>
        <w:rPr>
          <w:rFonts w:ascii="Calibri" w:hAnsi="Calibri" w:cs="Calibri"/>
          <w:color w:val="7F7F7F" w:themeColor="text1" w:themeTint="80"/>
          <w:sz w:val="26"/>
          <w:szCs w:val="26"/>
        </w:rPr>
        <w:t xml:space="preserve"> a este Juzgado del cumplimiento dado al presente resolutivo, acompañando las constancias relativas que así lo acrediten . . . . . . . . . . . . . . . . . .</w:t>
      </w:r>
      <w:r>
        <w:rPr>
          <w:rFonts w:ascii="Calibri" w:hAnsi="Calibri" w:cs="Calibri"/>
          <w:bCs/>
          <w:iCs/>
          <w:color w:val="7F7F7F" w:themeColor="text1" w:themeTint="80"/>
          <w:sz w:val="26"/>
          <w:szCs w:val="26"/>
        </w:rPr>
        <w:t xml:space="preserve"> .</w:t>
      </w:r>
    </w:p>
    <w:p w:rsidR="008E39A2" w:rsidRDefault="008E39A2" w:rsidP="008E39A2">
      <w:pPr>
        <w:pStyle w:val="Textoindependiente"/>
        <w:ind w:firstLine="708"/>
        <w:rPr>
          <w:rFonts w:ascii="Calibri" w:hAnsi="Calibri" w:cs="Calibri"/>
          <w:color w:val="767171" w:themeColor="background2" w:themeShade="80"/>
          <w:sz w:val="26"/>
          <w:szCs w:val="26"/>
          <w:lang w:val="es-ES"/>
        </w:rPr>
      </w:pPr>
    </w:p>
    <w:p w:rsidR="008E39A2" w:rsidRDefault="008E39A2" w:rsidP="008E39A2">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Notifíquese a la autoridad demandada por oficio y a la parte actora personalmente. . . . . . . . . . . . . . . . . . . . . . . . . . . . . . . . . . . . . . . . . . . . . . . . . . . . . . . .</w:t>
      </w:r>
    </w:p>
    <w:p w:rsidR="008E39A2" w:rsidRDefault="008E39A2" w:rsidP="008E39A2">
      <w:pPr>
        <w:pStyle w:val="Textoindependiente"/>
        <w:rPr>
          <w:rFonts w:ascii="Calibri" w:hAnsi="Calibri" w:cs="Calibri"/>
          <w:color w:val="767171" w:themeColor="background2" w:themeShade="80"/>
          <w:sz w:val="20"/>
          <w:szCs w:val="20"/>
        </w:rPr>
      </w:pPr>
    </w:p>
    <w:p w:rsidR="008E39A2" w:rsidRDefault="008E39A2" w:rsidP="008E39A2">
      <w:pPr>
        <w:pStyle w:val="Textoindependiente"/>
        <w:ind w:firstLine="708"/>
        <w:rPr>
          <w:rFonts w:ascii="Calibri" w:hAnsi="Calibri" w:cs="Calibri"/>
          <w:b/>
          <w:bCs/>
          <w:color w:val="767171" w:themeColor="background2" w:themeShade="80"/>
          <w:sz w:val="26"/>
          <w:szCs w:val="26"/>
        </w:rPr>
      </w:pPr>
      <w:r>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8E39A2" w:rsidRDefault="008E39A2" w:rsidP="008E39A2">
      <w:pPr>
        <w:pStyle w:val="Textoindependiente"/>
        <w:rPr>
          <w:rFonts w:ascii="Calibri" w:hAnsi="Calibri" w:cs="Calibri"/>
          <w:color w:val="767171" w:themeColor="background2" w:themeShade="80"/>
          <w:sz w:val="20"/>
          <w:szCs w:val="20"/>
        </w:rPr>
      </w:pPr>
    </w:p>
    <w:p w:rsidR="008E39A2" w:rsidRDefault="008E39A2" w:rsidP="008E39A2">
      <w:pPr>
        <w:pStyle w:val="Textoindependiente"/>
        <w:ind w:firstLine="708"/>
        <w:rPr>
          <w:rFonts w:ascii="Calibri" w:hAnsi="Calibri" w:cs="Calibri"/>
          <w:color w:val="767171" w:themeColor="background2" w:themeShade="80"/>
          <w:sz w:val="26"/>
          <w:szCs w:val="26"/>
        </w:rPr>
      </w:pPr>
      <w:r>
        <w:rPr>
          <w:rFonts w:ascii="Calibri" w:hAnsi="Calibri" w:cs="Calibri"/>
          <w:color w:val="767171" w:themeColor="background2" w:themeShade="80"/>
          <w:sz w:val="26"/>
          <w:szCs w:val="26"/>
        </w:rPr>
        <w:t xml:space="preserve">Así lo resolvió y firma el Licenciado </w:t>
      </w:r>
      <w:r>
        <w:rPr>
          <w:rFonts w:ascii="Calibri" w:hAnsi="Calibri" w:cs="Calibri"/>
          <w:b/>
          <w:bCs/>
          <w:color w:val="767171" w:themeColor="background2" w:themeShade="80"/>
          <w:sz w:val="26"/>
          <w:szCs w:val="26"/>
        </w:rPr>
        <w:t>Ernesto Alejandro Mora Álvarez</w:t>
      </w:r>
      <w:r>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designado mediante oficio </w:t>
      </w:r>
      <w:r>
        <w:rPr>
          <w:rFonts w:ascii="Arial" w:hAnsi="Arial" w:cs="Arial"/>
          <w:b/>
          <w:color w:val="767171" w:themeColor="background2" w:themeShade="80"/>
        </w:rPr>
        <w:t>J.S.A.M./055 /2017</w:t>
      </w:r>
      <w:r>
        <w:rPr>
          <w:rFonts w:ascii="Calibri" w:hAnsi="Calibri" w:cs="Calibri"/>
          <w:color w:val="767171" w:themeColor="background2" w:themeShade="80"/>
          <w:sz w:val="26"/>
          <w:szCs w:val="26"/>
        </w:rPr>
        <w:t xml:space="preserve"> de fecha 6 de julio del año en curso, Licenciado </w:t>
      </w:r>
      <w:r>
        <w:rPr>
          <w:rFonts w:ascii="Calibri" w:hAnsi="Calibri" w:cs="Calibri"/>
          <w:b/>
          <w:bCs/>
          <w:color w:val="767171" w:themeColor="background2" w:themeShade="80"/>
          <w:sz w:val="26"/>
          <w:szCs w:val="26"/>
        </w:rPr>
        <w:t>Carlos Alberto Muñoz Vargas</w:t>
      </w:r>
      <w:r>
        <w:rPr>
          <w:rFonts w:ascii="Calibri" w:hAnsi="Calibri" w:cs="Calibri"/>
          <w:color w:val="767171" w:themeColor="background2" w:themeShade="80"/>
          <w:sz w:val="26"/>
          <w:szCs w:val="26"/>
        </w:rPr>
        <w:t xml:space="preserve">,  quien da fe. . . . . . . . . . . . . . . . . . . . . . . . . . . . . . . . . . . . . . . </w:t>
      </w:r>
      <w:bookmarkStart w:id="0" w:name="_GoBack"/>
      <w:bookmarkEnd w:id="0"/>
    </w:p>
    <w:p w:rsidR="008E39A2" w:rsidRDefault="008E39A2" w:rsidP="008E39A2">
      <w:pPr>
        <w:pStyle w:val="Textoindependiente"/>
        <w:ind w:firstLine="708"/>
        <w:rPr>
          <w:rFonts w:ascii="Calibri" w:hAnsi="Calibri" w:cs="Calibri"/>
          <w:color w:val="767171" w:themeColor="background2" w:themeShade="80"/>
          <w:sz w:val="26"/>
          <w:szCs w:val="26"/>
        </w:rPr>
      </w:pPr>
    </w:p>
    <w:p w:rsidR="008E39A2" w:rsidRDefault="008E39A2" w:rsidP="008E39A2">
      <w:pPr>
        <w:pStyle w:val="Textoindependiente"/>
        <w:ind w:firstLine="708"/>
        <w:rPr>
          <w:rFonts w:ascii="Calibri" w:hAnsi="Calibri" w:cs="Calibri"/>
          <w:color w:val="767171" w:themeColor="background2" w:themeShade="80"/>
          <w:sz w:val="26"/>
          <w:szCs w:val="26"/>
        </w:rPr>
      </w:pPr>
    </w:p>
    <w:p w:rsidR="008E39A2" w:rsidRDefault="008E39A2" w:rsidP="008E39A2">
      <w:pPr>
        <w:pStyle w:val="Textoindependiente"/>
        <w:ind w:firstLine="708"/>
        <w:rPr>
          <w:rFonts w:ascii="Calibri" w:hAnsi="Calibri" w:cs="Calibri"/>
          <w:color w:val="767171" w:themeColor="background2" w:themeShade="80"/>
          <w:sz w:val="26"/>
          <w:szCs w:val="26"/>
        </w:rPr>
      </w:pPr>
    </w:p>
    <w:p w:rsidR="008E39A2" w:rsidRDefault="008E39A2" w:rsidP="008E39A2">
      <w:pPr>
        <w:pStyle w:val="Textoindependiente"/>
        <w:ind w:firstLine="708"/>
        <w:rPr>
          <w:rFonts w:ascii="Calibri" w:hAnsi="Calibri" w:cs="Calibri"/>
          <w:color w:val="767171" w:themeColor="background2" w:themeShade="80"/>
          <w:sz w:val="26"/>
          <w:szCs w:val="26"/>
        </w:rPr>
      </w:pPr>
    </w:p>
    <w:p w:rsidR="008E39A2" w:rsidRDefault="008E39A2" w:rsidP="008E39A2">
      <w:pPr>
        <w:pStyle w:val="Textoindependiente"/>
        <w:ind w:firstLine="708"/>
        <w:rPr>
          <w:rFonts w:ascii="Calibri" w:hAnsi="Calibri" w:cs="Calibri"/>
          <w:color w:val="767171" w:themeColor="background2" w:themeShade="80"/>
          <w:sz w:val="26"/>
          <w:szCs w:val="26"/>
        </w:rPr>
      </w:pPr>
    </w:p>
    <w:p w:rsidR="008E39A2" w:rsidRDefault="008E39A2" w:rsidP="008E39A2">
      <w:pPr>
        <w:pStyle w:val="Textoindependiente"/>
        <w:ind w:firstLine="708"/>
        <w:rPr>
          <w:rFonts w:ascii="Calibri" w:hAnsi="Calibri" w:cs="Calibri"/>
          <w:color w:val="767171" w:themeColor="background2" w:themeShade="80"/>
          <w:sz w:val="26"/>
          <w:szCs w:val="26"/>
        </w:rPr>
      </w:pPr>
    </w:p>
    <w:p w:rsidR="008E39A2" w:rsidRDefault="008E39A2" w:rsidP="008E39A2">
      <w:pPr>
        <w:pStyle w:val="Textoindependiente"/>
        <w:ind w:firstLine="708"/>
        <w:rPr>
          <w:rFonts w:ascii="Calibri" w:hAnsi="Calibri" w:cs="Calibri"/>
          <w:color w:val="767171" w:themeColor="background2" w:themeShade="80"/>
          <w:sz w:val="26"/>
          <w:szCs w:val="26"/>
        </w:rPr>
      </w:pPr>
    </w:p>
    <w:p w:rsidR="008E39A2" w:rsidRDefault="008E39A2" w:rsidP="008E39A2">
      <w:pPr>
        <w:pStyle w:val="Textoindependiente"/>
        <w:ind w:firstLine="708"/>
        <w:rPr>
          <w:rFonts w:ascii="Calibri" w:hAnsi="Calibri" w:cs="Calibri"/>
          <w:color w:val="767171" w:themeColor="background2" w:themeShade="80"/>
          <w:sz w:val="26"/>
          <w:szCs w:val="26"/>
        </w:rPr>
      </w:pPr>
    </w:p>
    <w:p w:rsidR="008E39A2" w:rsidRDefault="008E39A2" w:rsidP="008E39A2">
      <w:pPr>
        <w:pStyle w:val="Textoindependiente"/>
        <w:ind w:firstLine="708"/>
        <w:rPr>
          <w:rFonts w:ascii="Calibri" w:hAnsi="Calibri" w:cs="Calibri"/>
          <w:color w:val="767171" w:themeColor="background2" w:themeShade="80"/>
          <w:sz w:val="26"/>
          <w:szCs w:val="26"/>
        </w:rPr>
      </w:pPr>
    </w:p>
    <w:p w:rsidR="008E39A2" w:rsidRDefault="008E39A2" w:rsidP="008E39A2">
      <w:pPr>
        <w:pStyle w:val="Textoindependiente"/>
        <w:ind w:firstLine="708"/>
        <w:rPr>
          <w:rFonts w:ascii="Calibri" w:hAnsi="Calibri" w:cs="Calibri"/>
          <w:color w:val="767171" w:themeColor="background2" w:themeShade="80"/>
          <w:sz w:val="26"/>
          <w:szCs w:val="26"/>
        </w:rPr>
      </w:pPr>
    </w:p>
    <w:p w:rsidR="008E39A2" w:rsidRDefault="008E39A2" w:rsidP="008E39A2">
      <w:pPr>
        <w:jc w:val="both"/>
        <w:rPr>
          <w:rFonts w:ascii="Calibri" w:hAnsi="Calibri" w:cs="Calibri"/>
          <w:color w:val="767171" w:themeColor="background2" w:themeShade="80"/>
          <w:sz w:val="26"/>
          <w:szCs w:val="26"/>
        </w:rPr>
      </w:pPr>
      <w:r>
        <w:rPr>
          <w:rFonts w:ascii="Calibri" w:hAnsi="Calibri" w:cs="Calibri"/>
          <w:b/>
          <w:color w:val="7F7F7F" w:themeColor="text1" w:themeTint="80"/>
        </w:rPr>
        <w:t xml:space="preserve">LA PRESENTE FOJA FORMA PARTE DE LA SENTENCIA DICTADA EL DÍA 10 DIEZ DE JULIO DEL AÑO 2017 DOS MIL DIECISIETE, EN EL PROCESO ADMINISTRATIVO CON NÚMERO DE EXPEDIENTE 0274/2do JAM/2017-JN. . . . . . . . . . . . . . .  . . . . . . . . . . . .  . . . . . . . . . . . </w:t>
      </w:r>
    </w:p>
    <w:p w:rsidR="004F58FC" w:rsidRDefault="004F58FC"/>
    <w:sectPr w:rsidR="004F58FC">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9A2"/>
    <w:rsid w:val="004F58FC"/>
    <w:rsid w:val="008E39A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41342DE-8AEE-4D04-ABBF-C52F4C5C3C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39A2"/>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E39A2"/>
    <w:pPr>
      <w:jc w:val="both"/>
    </w:pPr>
    <w:rPr>
      <w:lang w:val="es-MX"/>
    </w:rPr>
  </w:style>
  <w:style w:type="character" w:customStyle="1" w:styleId="TextoindependienteCar">
    <w:name w:val="Texto independiente Car"/>
    <w:basedOn w:val="Fuentedeprrafopredeter"/>
    <w:link w:val="Textoindependiente"/>
    <w:rsid w:val="008E39A2"/>
    <w:rPr>
      <w:rFonts w:ascii="Times New Roman" w:eastAsia="Calibri" w:hAnsi="Times New Roman" w:cs="Times New Roman"/>
      <w:sz w:val="24"/>
      <w:szCs w:val="24"/>
      <w:lang w:eastAsia="es-ES"/>
    </w:rPr>
  </w:style>
  <w:style w:type="paragraph" w:styleId="Sangradetextonormal">
    <w:name w:val="Body Text Indent"/>
    <w:basedOn w:val="Normal"/>
    <w:link w:val="SangradetextonormalCar"/>
    <w:semiHidden/>
    <w:rsid w:val="008E39A2"/>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8E39A2"/>
    <w:rPr>
      <w:rFonts w:ascii="Times New Roman" w:eastAsia="Times New Roman" w:hAnsi="Times New Roman" w:cs="Times New Roman"/>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3716</Words>
  <Characters>20443</Characters>
  <Application>Microsoft Office Word</Application>
  <DocSecurity>0</DocSecurity>
  <Lines>170</Lines>
  <Paragraphs>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24111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BLANCA</dc:creator>
  <cp:keywords/>
  <dc:description/>
  <cp:lastModifiedBy>BLANCA</cp:lastModifiedBy>
  <cp:revision>1</cp:revision>
  <dcterms:created xsi:type="dcterms:W3CDTF">2017-08-31T16:30:00Z</dcterms:created>
  <dcterms:modified xsi:type="dcterms:W3CDTF">2017-08-31T16:30:00Z</dcterms:modified>
</cp:coreProperties>
</file>